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both"/>
        <w:rPr>
          <w:rFonts w:hint="eastAsia" w:ascii="黑体" w:hAnsi="黑体" w:eastAsia="黑体" w:cs="方正小标宋_GBK"/>
          <w:color w:val="auto"/>
          <w:sz w:val="44"/>
          <w:szCs w:val="44"/>
        </w:rPr>
      </w:pPr>
      <w:bookmarkStart w:id="0" w:name="_Toc27136_WPSOffice_Type2"/>
    </w:p>
    <w:p>
      <w:pPr>
        <w:spacing w:line="600" w:lineRule="exact"/>
        <w:jc w:val="center"/>
        <w:rPr>
          <w:rFonts w:hint="eastAsia" w:ascii="仿宋" w:hAnsi="仿宋" w:eastAsia="仿宋" w:cs="仿宋"/>
          <w:b/>
          <w:bCs/>
          <w:color w:val="auto"/>
          <w:sz w:val="32"/>
          <w:szCs w:val="32"/>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1000" w:lineRule="exact"/>
        <w:jc w:val="center"/>
        <w:rPr>
          <w:rFonts w:hint="eastAsia" w:ascii="方正大标宋简体" w:hAnsi="Courier New" w:eastAsia="方正大标宋简体" w:cs="Courier New"/>
          <w:b/>
          <w:bCs/>
          <w:color w:val="auto"/>
          <w:kern w:val="0"/>
          <w:sz w:val="52"/>
          <w:szCs w:val="52"/>
        </w:rPr>
      </w:pPr>
      <w:r>
        <w:rPr>
          <w:rFonts w:hint="eastAsia" w:ascii="方正大标宋简体" w:hAnsi="Courier New" w:eastAsia="方正大标宋简体" w:cs="Courier New"/>
          <w:b/>
          <w:bCs/>
          <w:color w:val="auto"/>
          <w:kern w:val="0"/>
          <w:sz w:val="52"/>
          <w:szCs w:val="52"/>
        </w:rPr>
        <w:t>三明市市级财政支出项目</w:t>
      </w:r>
    </w:p>
    <w:p>
      <w:pPr>
        <w:spacing w:line="600" w:lineRule="exact"/>
        <w:jc w:val="center"/>
        <w:rPr>
          <w:rFonts w:hint="eastAsia" w:ascii="黑体" w:hAnsi="黑体" w:eastAsia="黑体" w:cs="方正小标宋_GBK"/>
          <w:color w:val="auto"/>
          <w:sz w:val="44"/>
          <w:szCs w:val="44"/>
        </w:rPr>
      </w:pPr>
      <w:r>
        <w:rPr>
          <w:rFonts w:hint="eastAsia" w:ascii="方正大标宋简体" w:hAnsi="Courier New" w:eastAsia="方正大标宋简体" w:cs="Courier New"/>
          <w:b/>
          <w:bCs/>
          <w:color w:val="auto"/>
          <w:kern w:val="0"/>
          <w:sz w:val="52"/>
          <w:szCs w:val="52"/>
        </w:rPr>
        <w:t>绩效评价报告</w:t>
      </w:r>
    </w:p>
    <w:p>
      <w:pPr>
        <w:spacing w:line="600" w:lineRule="exact"/>
        <w:jc w:val="center"/>
        <w:rPr>
          <w:rFonts w:hint="eastAsia" w:ascii="黑体" w:hAnsi="黑体" w:eastAsia="黑体" w:cs="方正小标宋_GBK"/>
          <w:color w:val="auto"/>
          <w:sz w:val="44"/>
          <w:szCs w:val="44"/>
        </w:rPr>
      </w:pPr>
      <w:bookmarkStart w:id="2" w:name="_GoBack"/>
      <w:bookmarkEnd w:id="2"/>
    </w:p>
    <w:p>
      <w:pPr>
        <w:pStyle w:val="2"/>
        <w:rPr>
          <w:rFonts w:hint="eastAsia"/>
          <w:color w:val="auto"/>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ind w:firstLine="360" w:firstLineChars="100"/>
        <w:jc w:val="center"/>
        <w:rPr>
          <w:rFonts w:hint="eastAsia" w:ascii="宋体" w:hAnsi="宋体" w:cs="Courier New"/>
          <w:color w:val="auto"/>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both"/>
        <w:rPr>
          <w:rFonts w:hint="default" w:ascii="Courier New" w:hAnsi="Courier New" w:eastAsia="宋体" w:cs="Courier New"/>
          <w:color w:val="auto"/>
          <w:kern w:val="0"/>
          <w:sz w:val="36"/>
          <w:szCs w:val="36"/>
          <w:u w:val="single"/>
          <w:lang w:val="en-US" w:eastAsia="zh-CN"/>
        </w:rPr>
      </w:pPr>
      <w:r>
        <w:rPr>
          <w:rFonts w:hint="eastAsia" w:ascii="黑体" w:hAnsi="黑体" w:eastAsia="黑体" w:cs="黑体"/>
          <w:color w:val="auto"/>
          <w:kern w:val="0"/>
          <w:sz w:val="36"/>
          <w:szCs w:val="36"/>
        </w:rPr>
        <w:t>主管部</w:t>
      </w:r>
      <w:r>
        <w:rPr>
          <w:rFonts w:hint="eastAsia" w:ascii="黑体" w:hAnsi="黑体" w:eastAsia="黑体" w:cs="黑体"/>
          <w:color w:val="auto"/>
          <w:kern w:val="0"/>
          <w:sz w:val="36"/>
          <w:szCs w:val="36"/>
          <w:lang w:eastAsia="zh-CN"/>
        </w:rPr>
        <w:t>门：</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三明市</w:t>
      </w:r>
      <w:r>
        <w:rPr>
          <w:rFonts w:hint="eastAsia" w:ascii="Courier New" w:hAnsi="Courier New" w:cs="Courier New"/>
          <w:color w:val="auto"/>
          <w:kern w:val="0"/>
          <w:sz w:val="36"/>
          <w:szCs w:val="36"/>
          <w:u w:val="single"/>
          <w:lang w:eastAsia="zh-CN"/>
        </w:rPr>
        <w:t>政府</w:t>
      </w:r>
      <w:r>
        <w:rPr>
          <w:rFonts w:hint="eastAsia" w:ascii="Courier New" w:hAnsi="Courier New" w:cs="Courier New"/>
          <w:color w:val="auto"/>
          <w:kern w:val="0"/>
          <w:sz w:val="36"/>
          <w:szCs w:val="36"/>
          <w:u w:val="single"/>
          <w:lang w:val="en-US" w:eastAsia="zh-CN"/>
        </w:rPr>
        <w:t xml:space="preserve">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rPr>
          <w:rFonts w:hint="eastAsia" w:ascii="Courier New" w:hAnsi="Courier New" w:eastAsia="宋体" w:cs="Courier New"/>
          <w:color w:val="auto"/>
          <w:kern w:val="0"/>
          <w:sz w:val="36"/>
          <w:szCs w:val="36"/>
          <w:lang w:val="en-US" w:eastAsia="zh-CN"/>
        </w:rPr>
      </w:pPr>
      <w:r>
        <w:rPr>
          <w:rFonts w:hint="eastAsia" w:ascii="黑体" w:hAnsi="黑体" w:eastAsia="黑体" w:cs="黑体"/>
          <w:color w:val="auto"/>
          <w:kern w:val="0"/>
          <w:sz w:val="36"/>
          <w:szCs w:val="36"/>
        </w:rPr>
        <w:t>项目单位</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 xml:space="preserve">三明市科学技术局           </w:t>
      </w:r>
      <w:r>
        <w:rPr>
          <w:rFonts w:hint="eastAsia" w:ascii="Courier New" w:hAnsi="Courier New" w:cs="Courier New"/>
          <w:color w:val="auto"/>
          <w:kern w:val="0"/>
          <w:sz w:val="36"/>
          <w:szCs w:val="36"/>
          <w:u w:val="single"/>
          <w:lang w:val="en-US" w:eastAsia="zh-CN"/>
        </w:rPr>
        <w:t xml:space="preserve">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rPr>
          <w:rFonts w:hint="default" w:ascii="Courier New" w:hAnsi="Courier New" w:cs="Courier New"/>
          <w:color w:val="auto"/>
          <w:kern w:val="0"/>
          <w:sz w:val="36"/>
          <w:szCs w:val="36"/>
          <w:u w:val="single"/>
          <w:lang w:val="en-US" w:eastAsia="zh-CN"/>
        </w:rPr>
      </w:pPr>
      <w:r>
        <w:rPr>
          <w:rFonts w:hint="eastAsia" w:ascii="黑体" w:hAnsi="黑体" w:eastAsia="黑体" w:cs="黑体"/>
          <w:color w:val="auto"/>
          <w:kern w:val="0"/>
          <w:sz w:val="36"/>
          <w:szCs w:val="36"/>
        </w:rPr>
        <w:t>项目名称</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2020年度研发经费投入、机构建设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firstLine="2160" w:firstLineChars="600"/>
        <w:rPr>
          <w:rFonts w:hint="default" w:ascii="Courier New" w:hAnsi="Courier New" w:cs="Courier New"/>
          <w:color w:val="auto"/>
          <w:kern w:val="0"/>
          <w:sz w:val="36"/>
          <w:szCs w:val="36"/>
          <w:u w:val="single"/>
          <w:lang w:val="en-US"/>
        </w:rPr>
      </w:pP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及支持高新技术企业发展专项资金项目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r>
        <w:rPr>
          <w:rFonts w:hint="eastAsia" w:ascii="黑体" w:hAnsi="黑体" w:eastAsia="黑体" w:cs="黑体"/>
          <w:color w:val="auto"/>
          <w:kern w:val="0"/>
          <w:sz w:val="36"/>
          <w:szCs w:val="36"/>
        </w:rPr>
        <w:t>评价机构</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福建武夷会计师事务所有限公司三明分公司</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pStyle w:val="2"/>
        <w:ind w:left="0" w:leftChars="0" w:firstLine="0" w:firstLineChars="0"/>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hint="eastAsia" w:ascii="仿宋" w:hAnsi="仿宋" w:eastAsia="仿宋" w:cs="仿宋"/>
          <w:b/>
          <w:bCs/>
          <w:color w:val="auto"/>
          <w:kern w:val="0"/>
          <w:sz w:val="32"/>
          <w:szCs w:val="32"/>
        </w:rPr>
      </w:pPr>
      <w:r>
        <w:rPr>
          <w:rFonts w:hint="eastAsia" w:ascii="宋体" w:hAnsi="宋体" w:cs="Courier New"/>
          <w:color w:val="auto"/>
          <w:spacing w:val="60"/>
          <w:kern w:val="0"/>
          <w:sz w:val="36"/>
          <w:szCs w:val="36"/>
        </w:rPr>
        <w:t>三明市财政局</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hint="eastAsia" w:ascii="方正大标宋简体" w:hAnsi="Courier New" w:eastAsia="方正大标宋简体" w:cs="Courier New"/>
          <w:b w:val="0"/>
          <w:bCs w:val="0"/>
          <w:color w:val="auto"/>
          <w:kern w:val="0"/>
          <w:sz w:val="52"/>
          <w:szCs w:val="52"/>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hint="eastAsia" w:ascii="宋体" w:hAnsi="宋体" w:eastAsia="方正大标宋简体" w:cs="Courier New"/>
          <w:color w:val="auto"/>
          <w:spacing w:val="60"/>
          <w:kern w:val="0"/>
          <w:sz w:val="36"/>
          <w:szCs w:val="36"/>
          <w:lang w:val="en-US" w:eastAsia="zh-CN"/>
        </w:rPr>
      </w:pPr>
      <w:r>
        <w:rPr>
          <w:rFonts w:hint="eastAsia" w:ascii="方正大标宋简体" w:hAnsi="Courier New" w:eastAsia="方正大标宋简体" w:cs="Courier New"/>
          <w:b w:val="0"/>
          <w:bCs w:val="0"/>
          <w:color w:val="auto"/>
          <w:kern w:val="0"/>
          <w:sz w:val="52"/>
          <w:szCs w:val="52"/>
        </w:rPr>
        <w:t>目</w:t>
      </w:r>
      <w:r>
        <w:rPr>
          <w:rFonts w:hint="eastAsia" w:ascii="方正大标宋简体" w:hAnsi="Courier New" w:eastAsia="方正大标宋简体" w:cs="Courier New"/>
          <w:b/>
          <w:bCs/>
          <w:color w:val="auto"/>
          <w:kern w:val="0"/>
          <w:sz w:val="52"/>
          <w:szCs w:val="52"/>
        </w:rPr>
        <w:t xml:space="preserve">  </w:t>
      </w:r>
      <w:r>
        <w:rPr>
          <w:rFonts w:hint="eastAsia" w:ascii="方正大标宋简体" w:hAnsi="Courier New" w:eastAsia="方正大标宋简体" w:cs="Courier New"/>
          <w:b w:val="0"/>
          <w:bCs w:val="0"/>
          <w:color w:val="auto"/>
          <w:kern w:val="0"/>
          <w:sz w:val="52"/>
          <w:szCs w:val="52"/>
        </w:rPr>
        <w:t>录</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eastAsia" w:ascii="仿宋" w:hAnsi="仿宋" w:eastAsia="仿宋" w:cs="仿宋"/>
          <w:color w:val="auto"/>
          <w:kern w:val="0"/>
          <w:sz w:val="28"/>
          <w:szCs w:val="28"/>
          <w:lang w:val="en-US" w:eastAsia="zh-CN"/>
        </w:rPr>
      </w:pPr>
      <w:r>
        <w:rPr>
          <w:rFonts w:hint="eastAsia" w:ascii="仿宋" w:hAnsi="仿宋" w:eastAsia="仿宋" w:cs="仿宋"/>
          <w:color w:val="auto"/>
          <w:sz w:val="28"/>
          <w:szCs w:val="28"/>
        </w:rPr>
        <w:t xml:space="preserve"> </w:t>
      </w:r>
      <w:r>
        <w:rPr>
          <w:rFonts w:hint="eastAsia" w:ascii="仿宋" w:hAnsi="仿宋" w:eastAsia="仿宋" w:cs="仿宋"/>
          <w:color w:val="auto"/>
          <w:kern w:val="0"/>
          <w:sz w:val="28"/>
          <w:szCs w:val="28"/>
        </w:rPr>
        <w:t>一、项目概况..........................................</w:t>
      </w: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 xml:space="preserve">     （一）项目基本情况.....................................</w:t>
      </w:r>
      <w:r>
        <w:rPr>
          <w:rFonts w:hint="eastAsia" w:ascii="仿宋" w:hAnsi="仿宋" w:eastAsia="仿宋" w:cs="仿宋"/>
          <w:color w:val="auto"/>
          <w:kern w:val="0"/>
          <w:sz w:val="28"/>
          <w:szCs w:val="28"/>
          <w:lang w:val="en-US" w:eastAsia="zh-CN"/>
        </w:rPr>
        <w:t>...2</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lang w:eastAsia="zh-CN"/>
        </w:rPr>
        <w:t>二</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项目总体</w:t>
      </w:r>
      <w:r>
        <w:rPr>
          <w:rFonts w:hint="eastAsia" w:ascii="仿宋" w:hAnsi="仿宋" w:eastAsia="仿宋" w:cs="仿宋"/>
          <w:color w:val="auto"/>
          <w:kern w:val="0"/>
          <w:sz w:val="28"/>
          <w:szCs w:val="28"/>
        </w:rPr>
        <w:t>绩效目标...........................</w:t>
      </w:r>
      <w:r>
        <w:rPr>
          <w:rFonts w:hint="eastAsia" w:ascii="仿宋" w:hAnsi="仿宋" w:eastAsia="仿宋" w:cs="仿宋"/>
          <w:color w:val="auto"/>
          <w:kern w:val="0"/>
          <w:sz w:val="28"/>
          <w:szCs w:val="28"/>
          <w:lang w:val="en-US" w:eastAsia="zh-CN"/>
        </w:rPr>
        <w:t>...5</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三</w:t>
      </w:r>
      <w:r>
        <w:rPr>
          <w:rFonts w:hint="eastAsia" w:ascii="仿宋" w:hAnsi="仿宋" w:eastAsia="仿宋" w:cs="仿宋"/>
          <w:color w:val="auto"/>
          <w:kern w:val="0"/>
          <w:sz w:val="28"/>
          <w:szCs w:val="28"/>
        </w:rPr>
        <w:t>）项目资金</w:t>
      </w:r>
      <w:r>
        <w:rPr>
          <w:rFonts w:hint="eastAsia" w:ascii="仿宋" w:hAnsi="仿宋" w:eastAsia="仿宋" w:cs="仿宋"/>
          <w:color w:val="auto"/>
          <w:kern w:val="0"/>
          <w:sz w:val="28"/>
          <w:szCs w:val="28"/>
          <w:lang w:eastAsia="zh-CN"/>
        </w:rPr>
        <w:t>分配和使用</w:t>
      </w:r>
      <w:r>
        <w:rPr>
          <w:rFonts w:hint="eastAsia" w:ascii="仿宋" w:hAnsi="仿宋" w:eastAsia="仿宋" w:cs="仿宋"/>
          <w:color w:val="auto"/>
          <w:kern w:val="0"/>
          <w:sz w:val="28"/>
          <w:szCs w:val="28"/>
        </w:rPr>
        <w:t>情况.............................</w:t>
      </w:r>
      <w:r>
        <w:rPr>
          <w:rFonts w:hint="eastAsia" w:ascii="仿宋" w:hAnsi="仿宋" w:eastAsia="仿宋" w:cs="仿宋"/>
          <w:color w:val="auto"/>
          <w:kern w:val="0"/>
          <w:sz w:val="28"/>
          <w:szCs w:val="28"/>
          <w:lang w:val="en-US" w:eastAsia="zh-CN"/>
        </w:rPr>
        <w:t>5-8</w:t>
      </w:r>
    </w:p>
    <w:p>
      <w:pPr>
        <w:widowControl/>
        <w:tabs>
          <w:tab w:val="left" w:pos="840"/>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二、项目绩效评价小组组织实施情况.........................</w:t>
      </w:r>
      <w:r>
        <w:rPr>
          <w:rFonts w:hint="eastAsia" w:ascii="仿宋" w:hAnsi="仿宋" w:eastAsia="仿宋" w:cs="仿宋"/>
          <w:color w:val="auto"/>
          <w:kern w:val="0"/>
          <w:sz w:val="28"/>
          <w:szCs w:val="28"/>
          <w:lang w:val="en-US" w:eastAsia="zh-CN"/>
        </w:rPr>
        <w:t>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（一）评价目的...........................................</w:t>
      </w:r>
      <w:r>
        <w:rPr>
          <w:rFonts w:hint="eastAsia" w:ascii="仿宋" w:hAnsi="仿宋" w:eastAsia="仿宋" w:cs="仿宋"/>
          <w:color w:val="auto"/>
          <w:kern w:val="0"/>
          <w:sz w:val="28"/>
          <w:szCs w:val="28"/>
          <w:lang w:val="en-US" w:eastAsia="zh-CN"/>
        </w:rPr>
        <w:t>....8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（二）评价方法...........................................</w:t>
      </w:r>
      <w:r>
        <w:rPr>
          <w:rFonts w:hint="eastAsia" w:ascii="仿宋" w:hAnsi="仿宋" w:eastAsia="仿宋" w:cs="仿宋"/>
          <w:color w:val="auto"/>
          <w:kern w:val="0"/>
          <w:sz w:val="28"/>
          <w:szCs w:val="28"/>
          <w:lang w:val="en-US" w:eastAsia="zh-CN"/>
        </w:rPr>
        <w:t>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color w:val="auto"/>
          <w:lang w:val="en-US" w:eastAsia="zh-CN"/>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三</w:t>
      </w:r>
      <w:r>
        <w:rPr>
          <w:rFonts w:hint="eastAsia" w:ascii="仿宋" w:hAnsi="仿宋" w:eastAsia="仿宋" w:cs="仿宋"/>
          <w:color w:val="auto"/>
          <w:kern w:val="0"/>
          <w:sz w:val="28"/>
          <w:szCs w:val="28"/>
        </w:rPr>
        <w:t>）评价</w:t>
      </w:r>
      <w:r>
        <w:rPr>
          <w:rFonts w:hint="eastAsia" w:ascii="仿宋" w:hAnsi="仿宋" w:eastAsia="仿宋" w:cs="仿宋"/>
          <w:color w:val="auto"/>
          <w:kern w:val="0"/>
          <w:sz w:val="28"/>
          <w:szCs w:val="28"/>
          <w:lang w:eastAsia="zh-CN"/>
        </w:rPr>
        <w:t>步骤</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三、项目组织实施和管理情况.............................</w:t>
      </w:r>
      <w:r>
        <w:rPr>
          <w:rFonts w:hint="eastAsia" w:ascii="仿宋" w:hAnsi="仿宋" w:eastAsia="仿宋" w:cs="仿宋"/>
          <w:color w:val="auto"/>
          <w:kern w:val="0"/>
          <w:sz w:val="28"/>
          <w:szCs w:val="28"/>
          <w:lang w:val="en-US" w:eastAsia="zh-CN"/>
        </w:rPr>
        <w:t>....9-10</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（一）</w:t>
      </w:r>
      <w:r>
        <w:rPr>
          <w:rFonts w:hint="eastAsia" w:ascii="仿宋" w:hAnsi="仿宋" w:eastAsia="仿宋" w:cs="仿宋"/>
          <w:color w:val="auto"/>
          <w:kern w:val="0"/>
          <w:sz w:val="28"/>
          <w:szCs w:val="28"/>
          <w:lang w:eastAsia="zh-CN"/>
        </w:rPr>
        <w:t>项目管理</w:t>
      </w:r>
      <w:r>
        <w:rPr>
          <w:rFonts w:hint="eastAsia" w:ascii="仿宋" w:hAnsi="仿宋" w:eastAsia="仿宋" w:cs="仿宋"/>
          <w:color w:val="auto"/>
          <w:kern w:val="0"/>
          <w:sz w:val="28"/>
          <w:szCs w:val="28"/>
        </w:rPr>
        <w:t>制度</w:t>
      </w:r>
      <w:r>
        <w:rPr>
          <w:rFonts w:hint="eastAsia" w:ascii="仿宋" w:hAnsi="仿宋" w:eastAsia="仿宋" w:cs="仿宋"/>
          <w:color w:val="auto"/>
          <w:kern w:val="0"/>
          <w:sz w:val="28"/>
          <w:szCs w:val="28"/>
          <w:lang w:eastAsia="zh-CN"/>
        </w:rPr>
        <w:t>的</w:t>
      </w:r>
      <w:r>
        <w:rPr>
          <w:rFonts w:hint="eastAsia" w:ascii="仿宋" w:hAnsi="仿宋" w:eastAsia="仿宋" w:cs="仿宋"/>
          <w:color w:val="auto"/>
          <w:kern w:val="0"/>
          <w:sz w:val="28"/>
          <w:szCs w:val="28"/>
        </w:rPr>
        <w:t>建设</w:t>
      </w:r>
      <w:r>
        <w:rPr>
          <w:rFonts w:hint="eastAsia" w:ascii="仿宋" w:hAnsi="仿宋" w:eastAsia="仿宋" w:cs="仿宋"/>
          <w:color w:val="auto"/>
          <w:kern w:val="0"/>
          <w:sz w:val="28"/>
          <w:szCs w:val="28"/>
          <w:lang w:eastAsia="zh-CN"/>
        </w:rPr>
        <w:t>情况</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9</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（二）</w:t>
      </w:r>
      <w:r>
        <w:rPr>
          <w:rFonts w:hint="eastAsia" w:ascii="仿宋" w:hAnsi="仿宋" w:eastAsia="仿宋" w:cs="仿宋"/>
          <w:b w:val="0"/>
          <w:bCs/>
          <w:color w:val="auto"/>
          <w:kern w:val="0"/>
          <w:sz w:val="28"/>
          <w:szCs w:val="28"/>
        </w:rPr>
        <w:t>项目组织实施</w:t>
      </w:r>
      <w:r>
        <w:rPr>
          <w:rFonts w:hint="eastAsia" w:ascii="仿宋" w:hAnsi="仿宋" w:eastAsia="仿宋" w:cs="仿宋"/>
          <w:b w:val="0"/>
          <w:bCs/>
          <w:color w:val="auto"/>
          <w:kern w:val="0"/>
          <w:sz w:val="28"/>
          <w:szCs w:val="28"/>
          <w:lang w:eastAsia="zh-CN"/>
        </w:rPr>
        <w:t>情况</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9-10</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621" w:firstLineChars="22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 xml:space="preserve"> 四、项目绩效分析.....................................</w:t>
      </w:r>
      <w:r>
        <w:rPr>
          <w:rFonts w:hint="eastAsia" w:ascii="仿宋" w:hAnsi="仿宋" w:eastAsia="仿宋" w:cs="仿宋"/>
          <w:color w:val="auto"/>
          <w:kern w:val="0"/>
          <w:sz w:val="28"/>
          <w:szCs w:val="28"/>
          <w:lang w:val="en-US" w:eastAsia="zh-CN"/>
        </w:rPr>
        <w:t>10-17</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（一）绩效目标完成情况..................................</w:t>
      </w:r>
      <w:r>
        <w:rPr>
          <w:rFonts w:hint="eastAsia" w:ascii="仿宋" w:hAnsi="仿宋" w:eastAsia="仿宋" w:cs="仿宋"/>
          <w:color w:val="auto"/>
          <w:kern w:val="0"/>
          <w:sz w:val="28"/>
          <w:szCs w:val="28"/>
          <w:lang w:val="en-US" w:eastAsia="zh-CN"/>
        </w:rPr>
        <w:t>10</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（二）绩效指标得分情况分析...........................</w:t>
      </w:r>
      <w:r>
        <w:rPr>
          <w:rFonts w:hint="eastAsia" w:ascii="仿宋" w:hAnsi="仿宋" w:eastAsia="仿宋" w:cs="仿宋"/>
          <w:color w:val="auto"/>
          <w:kern w:val="0"/>
          <w:sz w:val="28"/>
          <w:szCs w:val="28"/>
          <w:lang w:val="en-US" w:eastAsia="zh-CN"/>
        </w:rPr>
        <w:t>12-17</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left="17" w:leftChars="8" w:firstLine="733" w:firstLineChars="262"/>
        <w:jc w:val="distribute"/>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五、项目存在的问题..................................</w:t>
      </w:r>
      <w:r>
        <w:rPr>
          <w:rFonts w:hint="eastAsia" w:ascii="仿宋" w:hAnsi="仿宋" w:eastAsia="仿宋" w:cs="仿宋"/>
          <w:color w:val="auto"/>
          <w:kern w:val="0"/>
          <w:sz w:val="28"/>
          <w:szCs w:val="28"/>
          <w:lang w:val="en-US" w:eastAsia="zh-CN"/>
        </w:rPr>
        <w:t>17</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ascii="仿宋" w:hAnsi="仿宋" w:eastAsia="仿宋" w:cs="仿宋"/>
          <w:b w:val="0"/>
          <w:bCs w:val="0"/>
          <w:color w:val="auto"/>
          <w:kern w:val="0"/>
          <w:sz w:val="28"/>
          <w:szCs w:val="28"/>
          <w:lang w:val="en-US" w:eastAsia="zh-CN"/>
        </w:rPr>
      </w:pPr>
      <w:r>
        <w:rPr>
          <w:rFonts w:hint="eastAsia" w:ascii="仿宋" w:hAnsi="仿宋" w:eastAsia="仿宋" w:cs="仿宋"/>
          <w:color w:val="auto"/>
          <w:kern w:val="0"/>
          <w:sz w:val="28"/>
          <w:szCs w:val="28"/>
        </w:rPr>
        <w:t xml:space="preserve">    </w:t>
      </w:r>
      <w:r>
        <w:rPr>
          <w:rFonts w:hint="eastAsia" w:ascii="仿宋" w:hAnsi="仿宋" w:eastAsia="仿宋" w:cs="仿宋"/>
          <w:b w:val="0"/>
          <w:bCs w:val="0"/>
          <w:color w:val="auto"/>
          <w:kern w:val="0"/>
          <w:sz w:val="28"/>
          <w:szCs w:val="28"/>
        </w:rPr>
        <w:t xml:space="preserve"> （一）</w:t>
      </w:r>
      <w:r>
        <w:rPr>
          <w:rFonts w:hint="eastAsia" w:ascii="仿宋" w:hAnsi="仿宋" w:eastAsia="仿宋" w:cs="仿宋"/>
          <w:b w:val="0"/>
          <w:bCs w:val="0"/>
          <w:color w:val="auto"/>
          <w:kern w:val="0"/>
          <w:sz w:val="28"/>
          <w:szCs w:val="28"/>
          <w:lang w:val="en-US" w:eastAsia="zh-CN"/>
        </w:rPr>
        <w:t>未设置专项资金管理办法，项目管理制度不够完善....17</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 xml:space="preserve">     （二）高新企业政策宣传不足，高企申报企业数量不多............18</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rPr>
        <w:t xml:space="preserve">     （三）</w:t>
      </w:r>
      <w:r>
        <w:rPr>
          <w:rFonts w:hint="eastAsia" w:ascii="仿宋" w:hAnsi="仿宋" w:eastAsia="仿宋" w:cs="仿宋"/>
          <w:b w:val="0"/>
          <w:bCs w:val="0"/>
          <w:color w:val="auto"/>
          <w:kern w:val="0"/>
          <w:sz w:val="28"/>
          <w:szCs w:val="28"/>
          <w:lang w:val="en-US" w:eastAsia="zh-CN"/>
        </w:rPr>
        <w:t>研发经费投入不足，奖补范围不够广....................18</w:t>
      </w:r>
    </w:p>
    <w:p>
      <w:pPr>
        <w:keepNext w:val="0"/>
        <w:keepLines w:val="0"/>
        <w:pageBreakBefore w:val="0"/>
        <w:widowControl/>
        <w:tabs>
          <w:tab w:val="left" w:pos="840"/>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kinsoku/>
        <w:wordWrap/>
        <w:overflowPunct/>
        <w:topLinePunct w:val="0"/>
        <w:autoSpaceDE/>
        <w:autoSpaceDN/>
        <w:bidi w:val="0"/>
        <w:adjustRightInd/>
        <w:snapToGrid/>
        <w:spacing w:line="480" w:lineRule="exact"/>
        <w:ind w:left="0" w:leftChars="0" w:firstLine="638" w:firstLineChars="228"/>
        <w:jc w:val="distribute"/>
        <w:textAlignment w:val="auto"/>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 xml:space="preserve"> </w:t>
      </w:r>
      <w:r>
        <w:rPr>
          <w:rFonts w:hint="eastAsia" w:ascii="仿宋" w:hAnsi="仿宋" w:eastAsia="仿宋" w:cs="仿宋"/>
          <w:b w:val="0"/>
          <w:bCs w:val="0"/>
          <w:color w:val="auto"/>
          <w:kern w:val="0"/>
          <w:sz w:val="28"/>
          <w:szCs w:val="28"/>
        </w:rPr>
        <w:t>六、</w:t>
      </w:r>
      <w:r>
        <w:rPr>
          <w:rFonts w:hint="eastAsia" w:ascii="仿宋" w:hAnsi="仿宋" w:eastAsia="仿宋" w:cs="仿宋"/>
          <w:b w:val="0"/>
          <w:bCs w:val="0"/>
          <w:color w:val="auto"/>
          <w:kern w:val="0"/>
          <w:sz w:val="28"/>
          <w:szCs w:val="28"/>
          <w:lang w:val="en-US" w:eastAsia="zh-CN" w:bidi="ar-SA"/>
        </w:rPr>
        <w:t>相关建议</w:t>
      </w:r>
      <w:r>
        <w:rPr>
          <w:rFonts w:hint="eastAsia" w:ascii="仿宋" w:hAnsi="仿宋" w:eastAsia="仿宋" w:cs="仿宋"/>
          <w:b w:val="0"/>
          <w:bCs w:val="0"/>
          <w:color w:val="auto"/>
          <w:kern w:val="0"/>
          <w:sz w:val="28"/>
          <w:szCs w:val="28"/>
        </w:rPr>
        <w:t>.......................................</w:t>
      </w:r>
      <w:r>
        <w:rPr>
          <w:rFonts w:hint="eastAsia" w:ascii="仿宋" w:hAnsi="仿宋" w:eastAsia="仿宋" w:cs="仿宋"/>
          <w:b w:val="0"/>
          <w:bCs w:val="0"/>
          <w:color w:val="auto"/>
          <w:kern w:val="0"/>
          <w:sz w:val="28"/>
          <w:szCs w:val="28"/>
          <w:lang w:val="en-US" w:eastAsia="zh-CN"/>
        </w:rPr>
        <w:t>.......19</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jc w:val="distribute"/>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rPr>
        <w:t xml:space="preserve">     （一）</w:t>
      </w:r>
      <w:r>
        <w:rPr>
          <w:rFonts w:hint="eastAsia" w:ascii="仿宋" w:hAnsi="仿宋" w:eastAsia="仿宋" w:cs="仿宋"/>
          <w:b w:val="0"/>
          <w:bCs w:val="0"/>
          <w:color w:val="auto"/>
          <w:kern w:val="0"/>
          <w:sz w:val="28"/>
          <w:szCs w:val="28"/>
          <w:lang w:val="en-US" w:eastAsia="zh-CN"/>
        </w:rPr>
        <w:t>制定专项资金管理办法，加强项目管理制度</w:t>
      </w:r>
      <w:r>
        <w:rPr>
          <w:rFonts w:hint="eastAsia" w:ascii="仿宋" w:hAnsi="仿宋" w:eastAsia="仿宋" w:cs="仿宋"/>
          <w:b w:val="0"/>
          <w:bCs w:val="0"/>
          <w:color w:val="auto"/>
          <w:kern w:val="0"/>
          <w:sz w:val="28"/>
          <w:szCs w:val="28"/>
        </w:rPr>
        <w:t>......</w:t>
      </w:r>
      <w:r>
        <w:rPr>
          <w:rFonts w:hint="eastAsia" w:ascii="仿宋" w:hAnsi="仿宋" w:eastAsia="仿宋" w:cs="仿宋"/>
          <w:b w:val="0"/>
          <w:bCs w:val="0"/>
          <w:color w:val="auto"/>
          <w:kern w:val="0"/>
          <w:sz w:val="28"/>
          <w:szCs w:val="28"/>
          <w:lang w:val="en-US" w:eastAsia="zh-CN"/>
        </w:rPr>
        <w:t>........19</w:t>
      </w:r>
    </w:p>
    <w:p>
      <w:pPr>
        <w:keepNext w:val="0"/>
        <w:keepLines w:val="0"/>
        <w:pageBreakBefore w:val="0"/>
        <w:widowControl/>
        <w:numPr>
          <w:ilvl w:val="0"/>
          <w:numId w:val="0"/>
        </w:numPr>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kinsoku/>
        <w:wordWrap/>
        <w:overflowPunct/>
        <w:topLinePunct w:val="0"/>
        <w:autoSpaceDE/>
        <w:autoSpaceDN/>
        <w:bidi w:val="0"/>
        <w:adjustRightInd/>
        <w:snapToGrid/>
        <w:spacing w:line="480" w:lineRule="exact"/>
        <w:ind w:firstLine="560" w:firstLineChars="200"/>
        <w:jc w:val="distribute"/>
        <w:textAlignment w:val="auto"/>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rPr>
        <w:t xml:space="preserve"> （二）</w:t>
      </w:r>
      <w:r>
        <w:rPr>
          <w:rFonts w:hint="eastAsia" w:ascii="仿宋" w:hAnsi="仿宋" w:eastAsia="仿宋" w:cs="仿宋"/>
          <w:b w:val="0"/>
          <w:bCs w:val="0"/>
          <w:color w:val="auto"/>
          <w:kern w:val="0"/>
          <w:sz w:val="28"/>
          <w:szCs w:val="28"/>
          <w:lang w:val="en-US" w:eastAsia="zh-CN"/>
        </w:rPr>
        <w:t>提升高新企业政策知晓率，鼓励企业积极申报高企补助.......19</w:t>
      </w:r>
    </w:p>
    <w:p>
      <w:pPr>
        <w:keepNext w:val="0"/>
        <w:keepLines w:val="0"/>
        <w:pageBreakBefore w:val="0"/>
        <w:widowControl/>
        <w:numPr>
          <w:ilvl w:val="0"/>
          <w:numId w:val="0"/>
        </w:numPr>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kinsoku/>
        <w:wordWrap/>
        <w:overflowPunct/>
        <w:topLinePunct w:val="0"/>
        <w:autoSpaceDE/>
        <w:autoSpaceDN/>
        <w:bidi w:val="0"/>
        <w:adjustRightInd/>
        <w:snapToGrid/>
        <w:spacing w:line="480" w:lineRule="exact"/>
        <w:ind w:firstLine="560" w:firstLineChars="200"/>
        <w:jc w:val="distribute"/>
        <w:textAlignment w:val="auto"/>
        <w:rPr>
          <w:rFonts w:hint="default"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rPr>
        <w:t xml:space="preserve"> （三）</w:t>
      </w:r>
      <w:r>
        <w:rPr>
          <w:rFonts w:hint="eastAsia" w:ascii="仿宋" w:hAnsi="仿宋" w:eastAsia="仿宋" w:cs="仿宋"/>
          <w:b w:val="0"/>
          <w:bCs w:val="0"/>
          <w:color w:val="auto"/>
          <w:kern w:val="0"/>
          <w:sz w:val="28"/>
          <w:szCs w:val="28"/>
          <w:lang w:val="en-US" w:eastAsia="zh-CN"/>
        </w:rPr>
        <w:t>引导企业加大研发投入，扩大奖补范围.................19</w:t>
      </w:r>
    </w:p>
    <w:p>
      <w:pPr>
        <w:widowControl/>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20" w:lineRule="exact"/>
        <w:ind w:left="1398" w:leftChars="399" w:hanging="560" w:hangingChars="200"/>
        <w:jc w:val="left"/>
        <w:rPr>
          <w:rFonts w:hint="default" w:eastAsia="仿宋"/>
          <w:color w:val="auto"/>
          <w:lang w:val="en-US" w:eastAsia="zh-CN"/>
        </w:rPr>
        <w:sectPr>
          <w:footerReference r:id="rId3" w:type="default"/>
          <w:pgSz w:w="11906" w:h="16838"/>
          <w:pgMar w:top="1440" w:right="1266" w:bottom="1318" w:left="1180" w:header="851" w:footer="992" w:gutter="0"/>
          <w:pgNumType w:fmt="decimal" w:start="1"/>
          <w:cols w:space="720" w:num="1"/>
          <w:docGrid w:type="lines" w:linePitch="312" w:charSpace="0"/>
        </w:sectPr>
      </w:pPr>
      <w:r>
        <w:rPr>
          <w:rFonts w:hint="eastAsia" w:ascii="仿宋" w:hAnsi="仿宋" w:eastAsia="仿宋" w:cs="仿宋"/>
          <w:color w:val="auto"/>
          <w:kern w:val="0"/>
          <w:sz w:val="28"/>
          <w:szCs w:val="28"/>
        </w:rPr>
        <w:t>附件：</w:t>
      </w:r>
      <w:r>
        <w:rPr>
          <w:rFonts w:hint="eastAsia" w:ascii="仿宋" w:hAnsi="仿宋" w:eastAsia="仿宋" w:cs="仿宋"/>
          <w:b w:val="0"/>
          <w:bCs/>
          <w:color w:val="auto"/>
          <w:kern w:val="0"/>
          <w:sz w:val="28"/>
          <w:szCs w:val="28"/>
        </w:rPr>
        <w:t>研发经费投入、机构建设及支持高新技术企业发展专项资金</w:t>
      </w:r>
      <w:r>
        <w:rPr>
          <w:rFonts w:hint="eastAsia" w:ascii="仿宋" w:hAnsi="仿宋" w:eastAsia="仿宋" w:cs="仿宋"/>
          <w:b w:val="0"/>
          <w:bCs/>
          <w:color w:val="auto"/>
          <w:kern w:val="0"/>
          <w:sz w:val="28"/>
          <w:szCs w:val="28"/>
          <w:lang w:eastAsia="zh-CN"/>
        </w:rPr>
        <w:t>项目绩效评价</w:t>
      </w:r>
      <w:r>
        <w:rPr>
          <w:rFonts w:hint="eastAsia" w:ascii="仿宋" w:hAnsi="仿宋" w:eastAsia="仿宋" w:cs="仿宋"/>
          <w:b w:val="0"/>
          <w:bCs/>
          <w:color w:val="auto"/>
          <w:kern w:val="0"/>
          <w:sz w:val="28"/>
          <w:szCs w:val="28"/>
        </w:rPr>
        <w:t>指标体系及评分</w:t>
      </w:r>
      <w:r>
        <w:rPr>
          <w:rFonts w:hint="eastAsia" w:ascii="仿宋" w:hAnsi="仿宋" w:eastAsia="仿宋" w:cs="仿宋"/>
          <w:b w:val="0"/>
          <w:bCs/>
          <w:color w:val="auto"/>
          <w:kern w:val="0"/>
          <w:sz w:val="28"/>
          <w:szCs w:val="28"/>
          <w:lang w:eastAsia="zh-CN"/>
        </w:rPr>
        <w:t>表</w:t>
      </w:r>
      <w:r>
        <w:rPr>
          <w:rFonts w:hint="eastAsia" w:ascii="仿宋" w:hAnsi="仿宋" w:eastAsia="仿宋" w:cs="仿宋"/>
          <w:b w:val="0"/>
          <w:bCs/>
          <w:color w:val="auto"/>
          <w:kern w:val="0"/>
          <w:sz w:val="28"/>
          <w:szCs w:val="28"/>
          <w:lang w:val="en-US" w:eastAsia="zh-CN"/>
        </w:rPr>
        <w:t>................</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20-25</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hint="eastAsia" w:ascii="仿宋_GB2312" w:hAnsi="宋体" w:eastAsia="仿宋_GB2312" w:cs="宋体"/>
          <w:b/>
          <w:bCs/>
          <w:color w:val="auto"/>
          <w:kern w:val="0"/>
          <w:sz w:val="32"/>
          <w:szCs w:val="32"/>
        </w:rPr>
      </w:pPr>
    </w:p>
    <w:p>
      <w:pPr>
        <w:pStyle w:val="2"/>
        <w:rPr>
          <w:rFonts w:hint="eastAsia"/>
          <w:color w:val="auto"/>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ascii="宋体"/>
          <w:b/>
          <w:bCs/>
          <w:color w:val="auto"/>
          <w:spacing w:val="60"/>
          <w:kern w:val="0"/>
          <w:sz w:val="36"/>
          <w:szCs w:val="36"/>
        </w:rPr>
      </w:pPr>
      <w:r>
        <w:rPr>
          <w:rFonts w:hint="eastAsia" w:ascii="仿宋_GB2312" w:hAnsi="宋体" w:eastAsia="仿宋_GB2312" w:cs="宋体"/>
          <w:b/>
          <w:bCs/>
          <w:color w:val="auto"/>
          <w:kern w:val="0"/>
          <w:sz w:val="32"/>
          <w:szCs w:val="32"/>
        </w:rPr>
        <w:t>闽武夷明所（20</w:t>
      </w:r>
      <w:r>
        <w:rPr>
          <w:rFonts w:hint="eastAsia" w:ascii="仿宋_GB2312" w:hAnsi="宋体" w:eastAsia="仿宋_GB2312" w:cs="宋体"/>
          <w:b/>
          <w:bCs/>
          <w:color w:val="auto"/>
          <w:kern w:val="0"/>
          <w:sz w:val="32"/>
          <w:szCs w:val="32"/>
          <w:lang w:val="en-US" w:eastAsia="zh-CN"/>
        </w:rPr>
        <w:t>21</w:t>
      </w:r>
      <w:r>
        <w:rPr>
          <w:rFonts w:hint="eastAsia" w:ascii="仿宋_GB2312" w:hAnsi="宋体" w:eastAsia="仿宋_GB2312" w:cs="宋体"/>
          <w:b/>
          <w:bCs/>
          <w:color w:val="auto"/>
          <w:kern w:val="0"/>
          <w:sz w:val="32"/>
          <w:szCs w:val="32"/>
        </w:rPr>
        <w:t>）咨字第</w:t>
      </w:r>
      <w:r>
        <w:rPr>
          <w:rFonts w:hint="eastAsia" w:ascii="仿宋_GB2312" w:hAnsi="宋体" w:eastAsia="仿宋_GB2312" w:cs="宋体"/>
          <w:b/>
          <w:bCs/>
          <w:color w:val="auto"/>
          <w:kern w:val="0"/>
          <w:sz w:val="32"/>
          <w:szCs w:val="32"/>
          <w:lang w:val="en-US" w:eastAsia="zh-CN"/>
        </w:rPr>
        <w:t xml:space="preserve"> </w:t>
      </w:r>
      <w:r>
        <w:rPr>
          <w:rFonts w:hint="eastAsia" w:ascii="仿宋_GB2312" w:hAnsi="宋体" w:eastAsia="仿宋_GB2312" w:cs="宋体"/>
          <w:b/>
          <w:bCs/>
          <w:color w:val="auto"/>
          <w:kern w:val="0"/>
          <w:sz w:val="32"/>
          <w:szCs w:val="32"/>
        </w:rPr>
        <w:t>号</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ascii="宋体"/>
          <w:color w:val="auto"/>
          <w:spacing w:val="60"/>
          <w:kern w:val="0"/>
          <w:sz w:val="36"/>
          <w:szCs w:val="36"/>
        </w:rPr>
      </w:pPr>
    </w:p>
    <w:p>
      <w:pPr>
        <w:pStyle w:val="2"/>
        <w:rPr>
          <w:color w:val="auto"/>
        </w:rPr>
      </w:pPr>
    </w:p>
    <w:bookmarkEnd w:id="0"/>
    <w:p>
      <w:pPr>
        <w:spacing w:line="600" w:lineRule="exact"/>
        <w:jc w:val="center"/>
        <w:rPr>
          <w:rFonts w:hint="eastAsia" w:ascii="宋体" w:hAnsi="宋体" w:eastAsia="宋体" w:cs="宋体"/>
          <w:b w:val="0"/>
          <w:bCs w:val="0"/>
          <w:color w:val="auto"/>
          <w:kern w:val="0"/>
          <w:sz w:val="44"/>
          <w:szCs w:val="44"/>
          <w:lang w:eastAsia="zh-CN"/>
        </w:rPr>
      </w:pPr>
      <w:r>
        <w:rPr>
          <w:rFonts w:hint="eastAsia" w:ascii="宋体" w:hAnsi="宋体" w:eastAsia="宋体" w:cs="宋体"/>
          <w:color w:val="auto"/>
          <w:kern w:val="0"/>
          <w:sz w:val="44"/>
          <w:szCs w:val="44"/>
        </w:rPr>
        <w:t>20</w:t>
      </w:r>
      <w:r>
        <w:rPr>
          <w:rFonts w:hint="eastAsia" w:ascii="宋体" w:hAnsi="宋体" w:eastAsia="宋体" w:cs="宋体"/>
          <w:color w:val="auto"/>
          <w:kern w:val="0"/>
          <w:sz w:val="44"/>
          <w:szCs w:val="44"/>
          <w:lang w:val="en-US" w:eastAsia="zh-CN"/>
        </w:rPr>
        <w:t>20</w:t>
      </w:r>
      <w:r>
        <w:rPr>
          <w:rFonts w:hint="eastAsia" w:ascii="宋体" w:hAnsi="宋体" w:eastAsia="宋体" w:cs="宋体"/>
          <w:color w:val="auto"/>
          <w:kern w:val="0"/>
          <w:sz w:val="44"/>
          <w:szCs w:val="44"/>
        </w:rPr>
        <w:t>年度</w:t>
      </w:r>
      <w:r>
        <w:rPr>
          <w:rFonts w:hint="eastAsia" w:ascii="宋体" w:hAnsi="宋体" w:eastAsia="宋体" w:cs="宋体"/>
          <w:b w:val="0"/>
          <w:bCs w:val="0"/>
          <w:color w:val="auto"/>
          <w:kern w:val="0"/>
          <w:sz w:val="44"/>
          <w:szCs w:val="44"/>
          <w:lang w:eastAsia="zh-CN"/>
        </w:rPr>
        <w:t>研发经费投入、机构建设</w:t>
      </w:r>
    </w:p>
    <w:p>
      <w:pPr>
        <w:spacing w:line="600" w:lineRule="exact"/>
        <w:jc w:val="center"/>
        <w:rPr>
          <w:rFonts w:hint="eastAsia" w:ascii="宋体" w:hAnsi="宋体" w:cs="宋体"/>
          <w:b w:val="0"/>
          <w:bCs w:val="0"/>
          <w:color w:val="auto"/>
          <w:kern w:val="0"/>
          <w:sz w:val="44"/>
          <w:szCs w:val="44"/>
          <w:lang w:eastAsia="zh-CN"/>
        </w:rPr>
      </w:pPr>
      <w:r>
        <w:rPr>
          <w:rFonts w:hint="eastAsia" w:ascii="宋体" w:hAnsi="宋体" w:eastAsia="宋体" w:cs="宋体"/>
          <w:b w:val="0"/>
          <w:bCs w:val="0"/>
          <w:color w:val="auto"/>
          <w:kern w:val="0"/>
          <w:sz w:val="44"/>
          <w:szCs w:val="44"/>
          <w:lang w:eastAsia="zh-CN"/>
        </w:rPr>
        <w:t>及支持高新技术企业发展专项</w:t>
      </w:r>
      <w:r>
        <w:rPr>
          <w:rFonts w:hint="eastAsia" w:ascii="宋体" w:hAnsi="宋体" w:cs="宋体"/>
          <w:b w:val="0"/>
          <w:bCs w:val="0"/>
          <w:color w:val="auto"/>
          <w:kern w:val="0"/>
          <w:sz w:val="44"/>
          <w:szCs w:val="44"/>
          <w:lang w:eastAsia="zh-CN"/>
        </w:rPr>
        <w:t>资金</w:t>
      </w:r>
    </w:p>
    <w:p>
      <w:pPr>
        <w:spacing w:line="600" w:lineRule="exact"/>
        <w:jc w:val="center"/>
        <w:rPr>
          <w:rFonts w:hint="eastAsia" w:ascii="宋体" w:hAnsi="宋体" w:eastAsia="宋体" w:cs="宋体"/>
          <w:color w:val="auto"/>
          <w:sz w:val="44"/>
          <w:szCs w:val="44"/>
        </w:rPr>
      </w:pPr>
      <w:r>
        <w:rPr>
          <w:rFonts w:hint="eastAsia" w:ascii="宋体" w:hAnsi="宋体" w:eastAsia="宋体" w:cs="宋体"/>
          <w:b w:val="0"/>
          <w:bCs w:val="0"/>
          <w:color w:val="auto"/>
          <w:kern w:val="0"/>
          <w:sz w:val="44"/>
          <w:szCs w:val="44"/>
        </w:rPr>
        <w:t>项目</w:t>
      </w:r>
      <w:r>
        <w:rPr>
          <w:rFonts w:hint="eastAsia" w:ascii="宋体" w:hAnsi="宋体" w:eastAsia="宋体" w:cs="宋体"/>
          <w:color w:val="auto"/>
          <w:sz w:val="44"/>
          <w:szCs w:val="44"/>
        </w:rPr>
        <w:t>绩效评价报告</w:t>
      </w:r>
    </w:p>
    <w:p>
      <w:pPr>
        <w:spacing w:line="500" w:lineRule="exact"/>
        <w:ind w:firstLine="640" w:firstLineChars="200"/>
        <w:rPr>
          <w:rFonts w:ascii="仿宋_GB2312" w:hAnsi="宋体" w:eastAsia="仿宋_GB2312"/>
          <w:color w:val="auto"/>
          <w:sz w:val="32"/>
          <w:szCs w:val="32"/>
        </w:rPr>
      </w:pPr>
    </w:p>
    <w:p>
      <w:pPr>
        <w:keepNext w:val="0"/>
        <w:keepLines w:val="0"/>
        <w:pageBreakBefore w:val="0"/>
        <w:kinsoku/>
        <w:wordWrap/>
        <w:overflowPunct/>
        <w:topLinePunct w:val="0"/>
        <w:autoSpaceDE/>
        <w:autoSpaceDN/>
        <w:bidi w:val="0"/>
        <w:adjustRightInd/>
        <w:snapToGrid/>
        <w:spacing w:line="520" w:lineRule="exact"/>
        <w:ind w:firstLine="640" w:firstLineChars="200"/>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为客观评价三明市</w:t>
      </w: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年度</w:t>
      </w:r>
      <w:r>
        <w:rPr>
          <w:rFonts w:hint="eastAsia" w:ascii="仿宋" w:hAnsi="仿宋" w:eastAsia="仿宋" w:cs="仿宋"/>
          <w:color w:val="auto"/>
          <w:kern w:val="0"/>
          <w:sz w:val="32"/>
          <w:szCs w:val="32"/>
        </w:rPr>
        <w:t>研发经费投入、机构建设及支持高新技术企业发展专项</w:t>
      </w:r>
      <w:bookmarkStart w:id="1" w:name="fi_xm_tpname"/>
      <w:bookmarkEnd w:id="1"/>
      <w:r>
        <w:rPr>
          <w:rFonts w:hint="eastAsia" w:ascii="仿宋_GB2312" w:hAnsi="宋体" w:eastAsia="仿宋_GB2312" w:cs="仿宋_GB2312"/>
          <w:color w:val="auto"/>
          <w:kern w:val="0"/>
          <w:sz w:val="32"/>
          <w:szCs w:val="32"/>
        </w:rPr>
        <w:t>资金使用情况，提高财政资金使用效益。由市财政局委托福建武夷会计师事务所有限公司三明分公司，</w:t>
      </w:r>
      <w:r>
        <w:rPr>
          <w:rFonts w:hint="eastAsia" w:ascii="仿宋_GB2312" w:hAnsi="宋体" w:eastAsia="仿宋_GB2312" w:cs="宋体"/>
          <w:color w:val="auto"/>
          <w:kern w:val="0"/>
          <w:sz w:val="32"/>
          <w:szCs w:val="32"/>
        </w:rPr>
        <w:t>按照</w:t>
      </w:r>
      <w:r>
        <w:rPr>
          <w:rFonts w:hint="eastAsia" w:ascii="仿宋_GB2312" w:hAnsi="宋体" w:eastAsia="仿宋_GB2312" w:cs="宋体"/>
          <w:color w:val="auto"/>
          <w:kern w:val="0"/>
          <w:sz w:val="32"/>
          <w:szCs w:val="32"/>
          <w:lang w:eastAsia="zh-CN"/>
        </w:rPr>
        <w:t>财政部</w:t>
      </w:r>
      <w:r>
        <w:rPr>
          <w:rFonts w:hint="eastAsia" w:ascii="仿宋_GB2312" w:hAnsi="宋体" w:eastAsia="仿宋_GB2312" w:cs="宋体"/>
          <w:color w:val="auto"/>
          <w:kern w:val="0"/>
          <w:sz w:val="32"/>
          <w:szCs w:val="32"/>
        </w:rPr>
        <w:t>《关于印发</w:t>
      </w:r>
      <w:r>
        <w:rPr>
          <w:rFonts w:hint="eastAsia" w:ascii="仿宋_GB2312" w:hAnsi="宋体" w:eastAsia="仿宋_GB2312" w:cs="宋体"/>
          <w:color w:val="auto"/>
          <w:kern w:val="0"/>
          <w:sz w:val="32"/>
          <w:szCs w:val="32"/>
          <w:lang w:eastAsia="zh-CN"/>
        </w:rPr>
        <w:t>项目支出绩效评价管理办法</w:t>
      </w:r>
      <w:r>
        <w:rPr>
          <w:rFonts w:hint="eastAsia" w:ascii="仿宋_GB2312" w:hAnsi="宋体" w:eastAsia="仿宋_GB2312" w:cs="宋体"/>
          <w:color w:val="auto"/>
          <w:kern w:val="0"/>
          <w:sz w:val="32"/>
          <w:szCs w:val="32"/>
        </w:rPr>
        <w:t>的通知》（财</w:t>
      </w:r>
      <w:r>
        <w:rPr>
          <w:rFonts w:hint="eastAsia" w:ascii="仿宋_GB2312" w:hAnsi="宋体" w:eastAsia="仿宋_GB2312" w:cs="宋体"/>
          <w:color w:val="auto"/>
          <w:kern w:val="0"/>
          <w:sz w:val="32"/>
          <w:szCs w:val="32"/>
          <w:lang w:eastAsia="zh-CN"/>
        </w:rPr>
        <w:t>预</w:t>
      </w:r>
      <w:r>
        <w:rPr>
          <w:rFonts w:hint="eastAsia" w:ascii="仿宋_GB2312" w:hAnsi="宋体" w:eastAsia="仿宋_GB2312" w:cs="宋体"/>
          <w:color w:val="auto"/>
          <w:kern w:val="0"/>
          <w:sz w:val="32"/>
          <w:szCs w:val="32"/>
        </w:rPr>
        <w:t>〔20</w:t>
      </w:r>
      <w:r>
        <w:rPr>
          <w:rFonts w:hint="eastAsia" w:ascii="仿宋_GB2312" w:hAnsi="宋体" w:eastAsia="仿宋_GB2312" w:cs="宋体"/>
          <w:color w:val="auto"/>
          <w:kern w:val="0"/>
          <w:sz w:val="32"/>
          <w:szCs w:val="32"/>
          <w:lang w:val="en-US" w:eastAsia="zh-CN"/>
        </w:rPr>
        <w:t>20</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号）文件要求， 20</w:t>
      </w:r>
      <w:r>
        <w:rPr>
          <w:rFonts w:hint="eastAsia" w:ascii="仿宋_GB2312" w:hAnsi="宋体" w:eastAsia="仿宋_GB2312" w:cs="宋体"/>
          <w:color w:val="auto"/>
          <w:kern w:val="0"/>
          <w:sz w:val="32"/>
          <w:szCs w:val="32"/>
          <w:lang w:val="en-US" w:eastAsia="zh-CN"/>
        </w:rPr>
        <w:t>21</w:t>
      </w:r>
      <w:r>
        <w:rPr>
          <w:rFonts w:hint="eastAsia" w:ascii="仿宋_GB2312" w:hAnsi="宋体" w:eastAsia="仿宋_GB2312" w:cs="宋体"/>
          <w:color w:val="auto"/>
          <w:kern w:val="0"/>
          <w:sz w:val="32"/>
          <w:szCs w:val="32"/>
        </w:rPr>
        <w:t>年</w:t>
      </w:r>
      <w:r>
        <w:rPr>
          <w:rFonts w:hint="eastAsia" w:ascii="仿宋_GB2312" w:hAnsi="宋体" w:eastAsia="仿宋_GB2312" w:cs="宋体"/>
          <w:color w:val="auto"/>
          <w:kern w:val="0"/>
          <w:sz w:val="32"/>
          <w:szCs w:val="32"/>
          <w:lang w:val="en-US" w:eastAsia="zh-CN"/>
        </w:rPr>
        <w:t>9</w:t>
      </w:r>
      <w:r>
        <w:rPr>
          <w:rFonts w:hint="eastAsia" w:ascii="仿宋_GB2312" w:hAnsi="宋体" w:eastAsia="仿宋_GB2312" w:cs="宋体"/>
          <w:color w:val="auto"/>
          <w:kern w:val="0"/>
          <w:sz w:val="32"/>
          <w:szCs w:val="32"/>
        </w:rPr>
        <w:t>月</w:t>
      </w:r>
      <w:r>
        <w:rPr>
          <w:rFonts w:hint="eastAsia" w:ascii="仿宋_GB2312" w:hAnsi="宋体" w:eastAsia="仿宋_GB2312" w:cs="宋体"/>
          <w:color w:val="auto"/>
          <w:kern w:val="0"/>
          <w:sz w:val="32"/>
          <w:szCs w:val="32"/>
          <w:lang w:val="en-US" w:eastAsia="zh-CN"/>
        </w:rPr>
        <w:t>14</w:t>
      </w:r>
      <w:r>
        <w:rPr>
          <w:rFonts w:hint="eastAsia" w:ascii="仿宋_GB2312" w:hAnsi="宋体" w:eastAsia="仿宋_GB2312" w:cs="宋体"/>
          <w:color w:val="auto"/>
          <w:kern w:val="0"/>
          <w:sz w:val="32"/>
          <w:szCs w:val="32"/>
        </w:rPr>
        <w:t>日至9月</w:t>
      </w:r>
      <w:r>
        <w:rPr>
          <w:rFonts w:hint="eastAsia" w:ascii="仿宋_GB2312" w:hAnsi="宋体" w:eastAsia="仿宋_GB2312" w:cs="宋体"/>
          <w:color w:val="auto"/>
          <w:kern w:val="0"/>
          <w:sz w:val="32"/>
          <w:szCs w:val="32"/>
          <w:lang w:val="en-US" w:eastAsia="zh-CN"/>
        </w:rPr>
        <w:t>18</w:t>
      </w:r>
      <w:r>
        <w:rPr>
          <w:rFonts w:hint="eastAsia" w:ascii="仿宋_GB2312" w:hAnsi="宋体" w:eastAsia="仿宋_GB2312" w:cs="宋体"/>
          <w:color w:val="auto"/>
          <w:kern w:val="0"/>
          <w:sz w:val="32"/>
          <w:szCs w:val="32"/>
        </w:rPr>
        <w:t>日我所</w:t>
      </w:r>
      <w:r>
        <w:rPr>
          <w:rFonts w:hint="eastAsia" w:ascii="仿宋_GB2312" w:hAnsi="宋体" w:eastAsia="仿宋_GB2312" w:cs="仿宋_GB2312"/>
          <w:color w:val="auto"/>
          <w:sz w:val="32"/>
          <w:szCs w:val="32"/>
        </w:rPr>
        <w:t>抽调业务骨干组成绩效评价小组，对</w:t>
      </w:r>
      <w:r>
        <w:rPr>
          <w:rFonts w:hint="eastAsia" w:ascii="仿宋_GB2312" w:hAnsi="宋体" w:eastAsia="仿宋_GB2312" w:cs="仿宋_GB2312"/>
          <w:color w:val="auto"/>
          <w:sz w:val="32"/>
          <w:szCs w:val="32"/>
          <w:lang w:eastAsia="zh-CN"/>
        </w:rPr>
        <w:t>三明市科学技术局2020</w:t>
      </w:r>
      <w:r>
        <w:rPr>
          <w:rFonts w:hint="eastAsia" w:ascii="仿宋_GB2312" w:hAnsi="宋体" w:eastAsia="仿宋_GB2312" w:cs="仿宋_GB2312"/>
          <w:color w:val="auto"/>
          <w:sz w:val="32"/>
          <w:szCs w:val="32"/>
        </w:rPr>
        <w:t>年度</w:t>
      </w:r>
      <w:r>
        <w:rPr>
          <w:rFonts w:hint="eastAsia" w:ascii="仿宋_GB2312" w:hAnsi="宋体" w:eastAsia="仿宋_GB2312" w:cs="仿宋_GB2312"/>
          <w:color w:val="auto"/>
          <w:sz w:val="32"/>
          <w:szCs w:val="32"/>
          <w:lang w:eastAsia="zh-CN"/>
        </w:rPr>
        <w:t>研发经费投入、机构建设及支持高新技术企业发展专项资金项目</w:t>
      </w:r>
      <w:r>
        <w:rPr>
          <w:rFonts w:hint="eastAsia" w:ascii="仿宋_GB2312" w:hAnsi="宋体" w:eastAsia="仿宋_GB2312" w:cs="仿宋_GB2312"/>
          <w:color w:val="auto"/>
          <w:sz w:val="32"/>
          <w:szCs w:val="32"/>
        </w:rPr>
        <w:t>开展绩效评价。在绩效评价过程中，结合实际情况，实施了包括询问、座谈及抽查会计凭证、查看合同档案和各项管理文件等我们认为必要的绩效评价程序。通过采取现场评价和非现场评价相结合的方式，获取了被评价项目的有关基本情况资料，采集和核实绩效评价所需要的基础数据资料，并在对相关资料进行汇总复核、分类整理和综合分析的基础上，按照设立的评价指标、标准、权数、方法及程序实施评价，形成评价报告。现将绩效评价报告如下：</w:t>
      </w:r>
      <w:r>
        <w:rPr>
          <w:rFonts w:ascii="仿宋_GB2312" w:hAnsi="宋体" w:eastAsia="仿宋_GB2312" w:cs="仿宋_GB2312"/>
          <w:color w:val="auto"/>
          <w:sz w:val="32"/>
          <w:szCs w:val="32"/>
        </w:rPr>
        <w:t xml:space="preserve"> </w:t>
      </w:r>
    </w:p>
    <w:p>
      <w:pPr>
        <w:keepNext w:val="0"/>
        <w:keepLines w:val="0"/>
        <w:pageBreakBefore w:val="0"/>
        <w:numPr>
          <w:ilvl w:val="0"/>
          <w:numId w:val="1"/>
        </w:numPr>
        <w:kinsoku/>
        <w:wordWrap/>
        <w:overflowPunct/>
        <w:topLinePunct w:val="0"/>
        <w:autoSpaceDE/>
        <w:autoSpaceDN/>
        <w:bidi w:val="0"/>
        <w:adjustRightInd/>
        <w:snapToGrid/>
        <w:spacing w:line="520" w:lineRule="exact"/>
        <w:ind w:firstLine="720" w:firstLineChars="200"/>
        <w:rPr>
          <w:rFonts w:ascii="黑体" w:hAnsi="宋体" w:eastAsia="黑体"/>
          <w:color w:val="auto"/>
          <w:sz w:val="36"/>
          <w:szCs w:val="36"/>
        </w:rPr>
      </w:pPr>
      <w:r>
        <w:rPr>
          <w:rFonts w:hint="eastAsia" w:ascii="黑体" w:hAnsi="宋体" w:eastAsia="黑体" w:cs="黑体"/>
          <w:color w:val="auto"/>
          <w:sz w:val="36"/>
          <w:szCs w:val="36"/>
        </w:rPr>
        <w:t>项目概况</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321" w:firstLineChars="100"/>
        <w:rPr>
          <w:rFonts w:hint="eastAsia" w:ascii="楷体" w:hAnsi="楷体" w:eastAsia="楷体" w:cs="楷体"/>
          <w:b/>
          <w:bCs/>
          <w:color w:val="auto"/>
          <w:kern w:val="0"/>
          <w:sz w:val="32"/>
          <w:szCs w:val="32"/>
          <w:lang w:eastAsia="zh-CN"/>
        </w:rPr>
      </w:pPr>
      <w:r>
        <w:rPr>
          <w:rFonts w:hint="eastAsia" w:ascii="楷体" w:hAnsi="楷体" w:eastAsia="楷体" w:cs="楷体"/>
          <w:b/>
          <w:bCs/>
          <w:color w:val="auto"/>
          <w:kern w:val="0"/>
          <w:sz w:val="32"/>
          <w:szCs w:val="32"/>
          <w:lang w:eastAsia="zh-CN"/>
        </w:rPr>
        <w:t>（一）项目基本情况</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rPr>
          <w:rFonts w:hint="eastAsia" w:ascii="仿宋" w:hAnsi="仿宋" w:eastAsia="仿宋" w:cs="宋体"/>
          <w:color w:val="auto"/>
          <w:kern w:val="0"/>
          <w:sz w:val="32"/>
          <w:szCs w:val="32"/>
          <w:lang w:eastAsia="zh-CN"/>
        </w:rPr>
      </w:pPr>
      <w:r>
        <w:rPr>
          <w:rFonts w:hint="eastAsia" w:ascii="仿宋" w:hAnsi="仿宋" w:eastAsia="仿宋" w:cs="宋体"/>
          <w:color w:val="auto"/>
          <w:kern w:val="0"/>
          <w:sz w:val="32"/>
          <w:szCs w:val="32"/>
          <w:lang w:eastAsia="zh-CN"/>
        </w:rPr>
        <w:t>研发经费投入、机构建设及支持高新企业发展专项：</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2" w:firstLineChars="200"/>
        <w:rPr>
          <w:rFonts w:hint="eastAsia" w:ascii="仿宋" w:hAnsi="仿宋" w:eastAsia="仿宋" w:cs="宋体"/>
          <w:color w:val="auto"/>
          <w:kern w:val="0"/>
          <w:sz w:val="32"/>
          <w:szCs w:val="32"/>
          <w:lang w:eastAsia="zh-CN"/>
        </w:rPr>
      </w:pPr>
      <w:r>
        <w:rPr>
          <w:rFonts w:hint="eastAsia" w:ascii="仿宋" w:hAnsi="仿宋" w:eastAsia="仿宋" w:cs="宋体"/>
          <w:b/>
          <w:bCs/>
          <w:color w:val="auto"/>
          <w:kern w:val="0"/>
          <w:sz w:val="32"/>
          <w:szCs w:val="32"/>
          <w:lang w:val="en-US" w:eastAsia="zh-CN"/>
        </w:rPr>
        <w:t>1.</w:t>
      </w:r>
      <w:r>
        <w:rPr>
          <w:rFonts w:hint="eastAsia" w:ascii="仿宋" w:hAnsi="仿宋" w:eastAsia="仿宋" w:cs="宋体"/>
          <w:color w:val="auto"/>
          <w:kern w:val="0"/>
          <w:sz w:val="32"/>
          <w:szCs w:val="32"/>
          <w:lang w:eastAsia="zh-CN"/>
        </w:rPr>
        <w:t>对全省规模以上的企业和高新技术企业研发经费投入实施分段补助。具体内容详见表</w:t>
      </w:r>
      <w:r>
        <w:rPr>
          <w:rFonts w:hint="eastAsia" w:ascii="仿宋" w:hAnsi="仿宋" w:eastAsia="仿宋" w:cs="宋体"/>
          <w:color w:val="auto"/>
          <w:kern w:val="0"/>
          <w:sz w:val="32"/>
          <w:szCs w:val="32"/>
          <w:lang w:val="en-US" w:eastAsia="zh-CN"/>
        </w:rPr>
        <w:t>1-1</w:t>
      </w:r>
      <w:r>
        <w:rPr>
          <w:rFonts w:hint="eastAsia" w:ascii="仿宋" w:hAnsi="仿宋" w:eastAsia="仿宋" w:cs="宋体"/>
          <w:color w:val="auto"/>
          <w:kern w:val="0"/>
          <w:sz w:val="32"/>
          <w:szCs w:val="32"/>
          <w:lang w:eastAsia="zh-CN"/>
        </w:rPr>
        <w:t>：</w:t>
      </w:r>
    </w:p>
    <w:p>
      <w:pPr>
        <w:pStyle w:val="2"/>
        <w:rPr>
          <w:rFonts w:hint="eastAsia" w:ascii="仿宋" w:hAnsi="仿宋" w:eastAsia="仿宋" w:cs="仿宋"/>
          <w:color w:val="auto"/>
          <w:sz w:val="32"/>
          <w:szCs w:val="32"/>
          <w:lang w:val="en-US" w:eastAsia="zh-CN"/>
        </w:rPr>
      </w:pPr>
      <w:r>
        <w:rPr>
          <w:rFonts w:hint="eastAsia" w:ascii="仿宋" w:hAnsi="仿宋" w:eastAsia="仿宋" w:cs="宋体"/>
          <w:color w:val="auto"/>
          <w:kern w:val="0"/>
          <w:sz w:val="32"/>
          <w:szCs w:val="32"/>
          <w:lang w:eastAsia="zh-CN"/>
        </w:rPr>
        <w:t>表</w:t>
      </w:r>
      <w:r>
        <w:rPr>
          <w:rFonts w:hint="eastAsia" w:ascii="仿宋" w:hAnsi="仿宋" w:eastAsia="仿宋" w:cs="宋体"/>
          <w:color w:val="auto"/>
          <w:kern w:val="0"/>
          <w:sz w:val="32"/>
          <w:szCs w:val="32"/>
          <w:lang w:val="en-US" w:eastAsia="zh-CN"/>
        </w:rPr>
        <w:t>:1-1</w:t>
      </w:r>
      <w:r>
        <w:rPr>
          <w:rFonts w:hint="eastAsia" w:ascii="仿宋" w:hAnsi="仿宋" w:eastAsia="仿宋" w:cs="仿宋"/>
          <w:color w:val="auto"/>
          <w:kern w:val="0"/>
          <w:sz w:val="32"/>
          <w:szCs w:val="32"/>
          <w:lang w:val="en-US" w:eastAsia="zh-CN"/>
        </w:rPr>
        <w:t xml:space="preserve"> </w:t>
      </w:r>
      <w:r>
        <w:rPr>
          <w:rFonts w:hint="eastAsia" w:ascii="仿宋" w:hAnsi="仿宋" w:eastAsia="仿宋" w:cs="仿宋"/>
          <w:i w:val="0"/>
          <w:iCs w:val="0"/>
          <w:caps w:val="0"/>
          <w:color w:val="auto"/>
          <w:spacing w:val="0"/>
          <w:sz w:val="32"/>
          <w:szCs w:val="32"/>
        </w:rPr>
        <w:t>企业研发经费投入分段补助相关内容</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6"/>
        <w:gridCol w:w="5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主要模块</w:t>
            </w:r>
          </w:p>
        </w:tc>
        <w:tc>
          <w:tcPr>
            <w:tcW w:w="5500" w:type="dxa"/>
          </w:tcPr>
          <w:p>
            <w:pPr>
              <w:pStyle w:val="2"/>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政策内容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补助对象及资金使用范围</w:t>
            </w: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在</w:t>
            </w:r>
            <w:r>
              <w:rPr>
                <w:rFonts w:hint="eastAsia" w:ascii="仿宋" w:hAnsi="仿宋" w:eastAsia="仿宋" w:cs="仿宋"/>
                <w:i w:val="0"/>
                <w:iCs w:val="0"/>
                <w:caps w:val="0"/>
                <w:color w:val="auto"/>
                <w:spacing w:val="0"/>
                <w:sz w:val="24"/>
                <w:szCs w:val="24"/>
                <w:lang w:eastAsia="zh-CN"/>
              </w:rPr>
              <w:t>福建</w:t>
            </w:r>
            <w:r>
              <w:rPr>
                <w:rFonts w:hint="eastAsia" w:ascii="仿宋" w:hAnsi="仿宋" w:eastAsia="仿宋" w:cs="仿宋"/>
                <w:i w:val="0"/>
                <w:iCs w:val="0"/>
                <w:caps w:val="0"/>
                <w:color w:val="auto"/>
                <w:spacing w:val="0"/>
                <w:sz w:val="24"/>
                <w:szCs w:val="24"/>
              </w:rPr>
              <w:t>省设立的规模以上企业和规模以下高新技术企业，其当年度研发经费内部支出应达50万元（含）以上。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资金用途</w:t>
            </w: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企业研发经费分段补助资金用于资助企业的后续研发、平台建设和研发团队奖励等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补助方式</w:t>
            </w:r>
          </w:p>
        </w:tc>
        <w:tc>
          <w:tcPr>
            <w:tcW w:w="5500" w:type="dxa"/>
          </w:tcPr>
          <w:p>
            <w:pPr>
              <w:pStyle w:val="2"/>
              <w:jc w:val="center"/>
              <w:rPr>
                <w:rFonts w:hint="eastAsia" w:ascii="仿宋" w:hAnsi="仿宋" w:eastAsia="仿宋" w:cs="仿宋"/>
                <w:color w:val="auto"/>
                <w:sz w:val="24"/>
                <w:szCs w:val="24"/>
                <w:vertAlign w:val="baseline"/>
                <w:lang w:eastAsia="zh-CN"/>
              </w:rPr>
            </w:pPr>
            <w:r>
              <w:rPr>
                <w:rFonts w:hint="eastAsia" w:ascii="仿宋" w:hAnsi="仿宋" w:eastAsia="仿宋" w:cs="仿宋"/>
                <w:b w:val="0"/>
                <w:bCs w:val="0"/>
                <w:i w:val="0"/>
                <w:iCs w:val="0"/>
                <w:caps w:val="0"/>
                <w:color w:val="auto"/>
                <w:spacing w:val="0"/>
                <w:sz w:val="24"/>
                <w:szCs w:val="24"/>
              </w:rPr>
              <w:t>后补助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3446" w:type="dxa"/>
            <w:vMerge w:val="restart"/>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补助类型</w:t>
            </w: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预补助：预补助又分为年中研发经费预补助和高研发经费预补助,预补助在同一年度企业只能择一申请。高研发经费预补助的申报企业，当年单项研发经费投入要在1000万元以上。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3446" w:type="dxa"/>
            <w:vMerge w:val="continue"/>
            <w:vAlign w:val="center"/>
          </w:tcPr>
          <w:p>
            <w:pPr>
              <w:pStyle w:val="2"/>
              <w:jc w:val="center"/>
              <w:rPr>
                <w:rFonts w:hint="eastAsia" w:ascii="仿宋" w:hAnsi="仿宋" w:eastAsia="仿宋" w:cs="仿宋"/>
                <w:color w:val="auto"/>
                <w:sz w:val="24"/>
                <w:szCs w:val="24"/>
              </w:rPr>
            </w:pP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年度研发经费补助（清算）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补助依据</w:t>
            </w: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企业上年度研发经费支出额(扣除政府部门投入，下同），及较前一年度研发经费的增长额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46"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补助资金计算方法</w:t>
            </w:r>
          </w:p>
        </w:tc>
        <w:tc>
          <w:tcPr>
            <w:tcW w:w="5500" w:type="dxa"/>
          </w:tcPr>
          <w:p>
            <w:pPr>
              <w:pStyle w:val="2"/>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eastAsia="zh-CN"/>
              </w:rPr>
              <w:t>详见表</w:t>
            </w:r>
            <w:r>
              <w:rPr>
                <w:rFonts w:hint="eastAsia" w:ascii="仿宋" w:hAnsi="仿宋" w:eastAsia="仿宋" w:cs="仿宋"/>
                <w:color w:val="auto"/>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3446" w:type="dxa"/>
            <w:vMerge w:val="restart"/>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b/>
                <w:bCs/>
                <w:i w:val="0"/>
                <w:iCs w:val="0"/>
                <w:caps w:val="0"/>
                <w:color w:val="auto"/>
                <w:spacing w:val="0"/>
                <w:sz w:val="24"/>
                <w:szCs w:val="24"/>
              </w:rPr>
              <w:t>补助资金分级承担</w:t>
            </w: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补助资金由省、设区市、县（市、区）按3：3：4比例分级承担，其中23个省级扶贫开发重点县补助经费按4：4：2比例分级承担；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3446" w:type="dxa"/>
            <w:vMerge w:val="continue"/>
          </w:tcPr>
          <w:p>
            <w:pPr>
              <w:pStyle w:val="2"/>
              <w:rPr>
                <w:rFonts w:hint="eastAsia" w:ascii="仿宋" w:hAnsi="仿宋" w:eastAsia="仿宋" w:cs="仿宋"/>
                <w:color w:val="auto"/>
                <w:sz w:val="24"/>
                <w:szCs w:val="24"/>
              </w:rPr>
            </w:pPr>
          </w:p>
        </w:tc>
        <w:tc>
          <w:tcPr>
            <w:tcW w:w="5500" w:type="dxa"/>
          </w:tcPr>
          <w:p>
            <w:pPr>
              <w:pStyle w:val="2"/>
              <w:rPr>
                <w:rFonts w:hint="eastAsia" w:ascii="仿宋" w:hAnsi="仿宋" w:eastAsia="仿宋" w:cs="仿宋"/>
                <w:color w:val="auto"/>
                <w:sz w:val="24"/>
                <w:szCs w:val="24"/>
                <w:vertAlign w:val="baseline"/>
                <w:lang w:eastAsia="zh-CN"/>
              </w:rPr>
            </w:pPr>
            <w:r>
              <w:rPr>
                <w:rFonts w:hint="eastAsia" w:ascii="仿宋" w:hAnsi="仿宋" w:eastAsia="仿宋" w:cs="仿宋"/>
                <w:i w:val="0"/>
                <w:iCs w:val="0"/>
                <w:caps w:val="0"/>
                <w:color w:val="auto"/>
                <w:spacing w:val="0"/>
                <w:sz w:val="24"/>
                <w:szCs w:val="24"/>
              </w:rPr>
              <w:t>企业所得税归属地在省级的企业所需资金全部由省级承担，在设区市的由省级和设区市按3：7或4：6比例分级承担。</w:t>
            </w:r>
          </w:p>
        </w:tc>
      </w:tr>
    </w:tbl>
    <w:p>
      <w:pPr>
        <w:pStyle w:val="2"/>
        <w:rPr>
          <w:rFonts w:hint="eastAsia" w:ascii="仿宋" w:hAnsi="仿宋" w:eastAsia="仿宋" w:cs="仿宋"/>
          <w:i w:val="0"/>
          <w:iCs w:val="0"/>
          <w:caps w:val="0"/>
          <w:color w:val="auto"/>
          <w:spacing w:val="0"/>
          <w:sz w:val="24"/>
          <w:szCs w:val="24"/>
        </w:rPr>
      </w:pPr>
      <w:r>
        <w:rPr>
          <w:rFonts w:hint="eastAsia" w:ascii="仿宋" w:hAnsi="仿宋" w:eastAsia="仿宋" w:cs="仿宋"/>
          <w:color w:val="auto"/>
          <w:sz w:val="24"/>
          <w:szCs w:val="24"/>
          <w:lang w:eastAsia="zh-CN"/>
        </w:rPr>
        <w:t>表：</w:t>
      </w:r>
      <w:r>
        <w:rPr>
          <w:rFonts w:hint="eastAsia" w:ascii="仿宋" w:hAnsi="仿宋" w:eastAsia="仿宋" w:cs="仿宋"/>
          <w:color w:val="auto"/>
          <w:sz w:val="24"/>
          <w:szCs w:val="24"/>
          <w:lang w:val="en-US" w:eastAsia="zh-CN"/>
        </w:rPr>
        <w:t xml:space="preserve">1-2 </w:t>
      </w:r>
      <w:r>
        <w:rPr>
          <w:rFonts w:hint="eastAsia" w:ascii="仿宋" w:hAnsi="仿宋" w:eastAsia="仿宋" w:cs="仿宋"/>
          <w:i w:val="0"/>
          <w:iCs w:val="0"/>
          <w:caps w:val="0"/>
          <w:color w:val="auto"/>
          <w:spacing w:val="0"/>
          <w:sz w:val="24"/>
          <w:szCs w:val="24"/>
        </w:rPr>
        <w:t> 企业研发经费投入分段补助标准计算方法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3490"/>
        <w:gridCol w:w="4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b/>
                <w:bCs/>
                <w:i w:val="0"/>
                <w:iCs w:val="0"/>
                <w:caps w:val="0"/>
                <w:color w:val="auto"/>
                <w:spacing w:val="0"/>
                <w:sz w:val="24"/>
                <w:szCs w:val="24"/>
              </w:rPr>
              <w:t>企业研发经费投入类型</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b/>
                <w:bCs/>
                <w:i w:val="0"/>
                <w:iCs w:val="0"/>
                <w:caps w:val="0"/>
                <w:color w:val="auto"/>
                <w:spacing w:val="0"/>
                <w:sz w:val="24"/>
                <w:szCs w:val="24"/>
              </w:rPr>
              <w:t>补助标准计算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0" w:type="auto"/>
            <w:vMerge w:val="restart"/>
            <w:vAlign w:val="center"/>
          </w:tcPr>
          <w:p>
            <w:pPr>
              <w:pStyle w:val="2"/>
              <w:ind w:left="0" w:leftChars="0" w:firstLine="0" w:firstLineChars="0"/>
              <w:jc w:val="both"/>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1、基础补助</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年度研发经费支出额不足1000万元的</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按研发经费支出额的5%计算补助经费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0" w:type="auto"/>
            <w:vMerge w:val="continue"/>
          </w:tcPr>
          <w:p>
            <w:pPr>
              <w:pStyle w:val="2"/>
              <w:rPr>
                <w:rFonts w:hint="eastAsia" w:ascii="仿宋" w:hAnsi="仿宋" w:eastAsia="仿宋" w:cs="仿宋"/>
                <w:color w:val="auto"/>
                <w:sz w:val="24"/>
                <w:szCs w:val="24"/>
              </w:rPr>
            </w:pP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年度研发经费支出额高于1000万元（含）、不足2000万元的</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对其中1000万元给予50万元补助，超出1000万元的部分，按超出部分的4%计算补助经费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0" w:type="auto"/>
            <w:vMerge w:val="continue"/>
          </w:tcPr>
          <w:p>
            <w:pPr>
              <w:pStyle w:val="2"/>
              <w:rPr>
                <w:rFonts w:hint="eastAsia" w:ascii="仿宋" w:hAnsi="仿宋" w:eastAsia="仿宋" w:cs="仿宋"/>
                <w:i w:val="0"/>
                <w:iCs w:val="0"/>
                <w:caps w:val="0"/>
                <w:color w:val="auto"/>
                <w:spacing w:val="0"/>
                <w:sz w:val="24"/>
                <w:szCs w:val="24"/>
                <w:vertAlign w:val="baseline"/>
                <w:lang w:val="en-US" w:eastAsia="zh-CN"/>
              </w:rPr>
            </w:pP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年度研发经费支出额高于2000万元（含）以上的</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对其中2000万元给予90万元补助，超出2000万元的部分，按超出部分的2%计算补助经费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vAlign w:val="top"/>
          </w:tcPr>
          <w:p>
            <w:pPr>
              <w:pStyle w:val="2"/>
              <w:ind w:left="0" w:leftChars="0" w:firstLine="0" w:firstLineChars="0"/>
              <w:jc w:val="both"/>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2、增长额补助</w:t>
            </w:r>
          </w:p>
        </w:tc>
        <w:tc>
          <w:tcPr>
            <w:tcW w:w="0" w:type="auto"/>
          </w:tcPr>
          <w:p>
            <w:pPr>
              <w:pStyle w:val="2"/>
              <w:rPr>
                <w:rFonts w:hint="eastAsia" w:ascii="仿宋" w:hAnsi="仿宋" w:eastAsia="仿宋" w:cs="仿宋"/>
                <w:i w:val="0"/>
                <w:iCs w:val="0"/>
                <w:caps w:val="0"/>
                <w:color w:val="auto"/>
                <w:spacing w:val="0"/>
                <w:sz w:val="24"/>
                <w:szCs w:val="24"/>
                <w:vertAlign w:val="baseline"/>
                <w:lang w:val="en-US" w:eastAsia="zh-CN"/>
              </w:rPr>
            </w:pPr>
            <w:r>
              <w:rPr>
                <w:rFonts w:hint="eastAsia" w:ascii="仿宋" w:hAnsi="仿宋" w:eastAsia="仿宋" w:cs="仿宋"/>
                <w:i w:val="0"/>
                <w:iCs w:val="0"/>
                <w:caps w:val="0"/>
                <w:color w:val="auto"/>
                <w:spacing w:val="0"/>
                <w:sz w:val="24"/>
                <w:szCs w:val="24"/>
              </w:rPr>
              <w:t>按照企业年度研发经费支出较上一年度增加额的6%计算</w:t>
            </w:r>
          </w:p>
        </w:tc>
      </w:tr>
    </w:tbl>
    <w:p>
      <w:pPr>
        <w:keepNext w:val="0"/>
        <w:keepLines w:val="0"/>
        <w:pageBreakBefore w:val="0"/>
        <w:numPr>
          <w:ilvl w:val="0"/>
          <w:numId w:val="0"/>
        </w:numPr>
        <w:kinsoku/>
        <w:wordWrap/>
        <w:overflowPunct/>
        <w:topLinePunct w:val="0"/>
        <w:autoSpaceDE/>
        <w:autoSpaceDN/>
        <w:bidi w:val="0"/>
        <w:adjustRightInd/>
        <w:snapToGrid/>
        <w:spacing w:line="520" w:lineRule="exact"/>
        <w:ind w:firstLine="642" w:firstLineChars="200"/>
        <w:rPr>
          <w:rFonts w:hint="eastAsia"/>
          <w:color w:val="auto"/>
          <w:lang w:val="en-US" w:eastAsia="zh-CN"/>
        </w:rPr>
      </w:pPr>
      <w:r>
        <w:rPr>
          <w:rFonts w:hint="eastAsia" w:ascii="仿宋" w:hAnsi="仿宋" w:eastAsia="仿宋" w:cs="宋体"/>
          <w:b/>
          <w:bCs/>
          <w:color w:val="auto"/>
          <w:kern w:val="0"/>
          <w:sz w:val="32"/>
          <w:szCs w:val="32"/>
          <w:lang w:val="en-US" w:eastAsia="zh-CN"/>
        </w:rPr>
        <w:t>2.</w:t>
      </w:r>
      <w:r>
        <w:rPr>
          <w:rFonts w:hint="eastAsia" w:ascii="仿宋" w:hAnsi="仿宋" w:eastAsia="仿宋" w:cs="宋体"/>
          <w:color w:val="auto"/>
          <w:kern w:val="0"/>
          <w:sz w:val="32"/>
          <w:szCs w:val="32"/>
          <w:lang w:eastAsia="zh-CN"/>
        </w:rPr>
        <w:t>对初创期新型研发机构每年度按非财政资金购入科研仪器、设备和软件购置经费</w:t>
      </w:r>
      <w:r>
        <w:rPr>
          <w:rFonts w:hint="eastAsia" w:ascii="仿宋" w:hAnsi="仿宋" w:eastAsia="仿宋" w:cs="宋体"/>
          <w:color w:val="auto"/>
          <w:kern w:val="0"/>
          <w:sz w:val="32"/>
          <w:szCs w:val="32"/>
          <w:lang w:val="en-US" w:eastAsia="zh-CN"/>
        </w:rPr>
        <w:t>25%的比例，给予最高不超过500万元的后补助。对于评价命名时已过初创期的新型研发机构，按近5年非财政资金购入科研仪器、设备和软件购置经费25%的比例，一次性给予最高不超过1000万元的后补助。以上后补助资金由省和设区市财政各按50%承担，省级所需经费纳入年度预算安排。</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2" w:firstLineChars="200"/>
        <w:rPr>
          <w:rFonts w:hint="eastAsia" w:ascii="仿宋" w:hAnsi="仿宋" w:eastAsia="仿宋" w:cs="宋体"/>
          <w:color w:val="auto"/>
          <w:kern w:val="0"/>
          <w:sz w:val="32"/>
          <w:szCs w:val="32"/>
          <w:lang w:val="en-US" w:eastAsia="zh-CN"/>
        </w:rPr>
      </w:pPr>
      <w:r>
        <w:rPr>
          <w:rFonts w:hint="eastAsia" w:ascii="仿宋" w:hAnsi="仿宋" w:eastAsia="仿宋" w:cs="宋体"/>
          <w:b/>
          <w:bCs/>
          <w:color w:val="auto"/>
          <w:kern w:val="0"/>
          <w:sz w:val="32"/>
          <w:szCs w:val="32"/>
          <w:lang w:val="en-US" w:eastAsia="zh-CN"/>
        </w:rPr>
        <w:t>3.</w:t>
      </w:r>
      <w:r>
        <w:rPr>
          <w:rFonts w:hint="eastAsia" w:ascii="仿宋" w:hAnsi="仿宋" w:eastAsia="仿宋" w:cs="宋体"/>
          <w:color w:val="auto"/>
          <w:kern w:val="0"/>
          <w:sz w:val="32"/>
          <w:szCs w:val="32"/>
          <w:lang w:val="en-US" w:eastAsia="zh-CN"/>
        </w:rPr>
        <w:t>设立省级高新技术企业培育专项资金，主要用于省级高新技术企业培育库入库企业、通过国家高新技术企业认定的出库企业、培育服务等工作。奖补方法详见表：1-3：</w:t>
      </w:r>
    </w:p>
    <w:p>
      <w:pPr>
        <w:pStyle w:val="9"/>
        <w:widowControl/>
        <w:numPr>
          <w:ilvl w:val="0"/>
          <w:numId w:val="0"/>
        </w:numPr>
        <w:shd w:val="clear" w:color="auto" w:fill="FFFFFF"/>
        <w:spacing w:line="560" w:lineRule="exact"/>
        <w:ind w:firstLine="2248" w:firstLineChars="700"/>
        <w:jc w:val="both"/>
        <w:rPr>
          <w:rFonts w:hint="eastAsia" w:ascii="仿宋" w:hAnsi="仿宋" w:eastAsia="仿宋" w:cs="仿宋"/>
          <w:b/>
          <w:bCs/>
          <w:color w:val="auto"/>
          <w:sz w:val="32"/>
          <w:szCs w:val="32"/>
          <w:shd w:val="clear" w:color="auto" w:fill="FFFFFF"/>
        </w:rPr>
      </w:pPr>
      <w:r>
        <w:rPr>
          <w:rFonts w:hint="eastAsia" w:ascii="仿宋" w:hAnsi="仿宋" w:eastAsia="仿宋" w:cs="仿宋"/>
          <w:b/>
          <w:bCs/>
          <w:color w:val="auto"/>
          <w:sz w:val="32"/>
          <w:szCs w:val="32"/>
          <w:shd w:val="clear" w:color="auto" w:fill="FFFFFF"/>
          <w:lang w:eastAsia="zh-CN"/>
        </w:rPr>
        <w:t>表</w:t>
      </w:r>
      <w:r>
        <w:rPr>
          <w:rFonts w:hint="eastAsia" w:ascii="仿宋" w:hAnsi="仿宋" w:eastAsia="仿宋" w:cs="仿宋"/>
          <w:b/>
          <w:bCs/>
          <w:color w:val="auto"/>
          <w:sz w:val="32"/>
          <w:szCs w:val="32"/>
          <w:shd w:val="clear" w:color="auto" w:fill="FFFFFF"/>
          <w:lang w:val="en-US" w:eastAsia="zh-CN"/>
        </w:rPr>
        <w:t>1-3：</w:t>
      </w:r>
      <w:r>
        <w:rPr>
          <w:rFonts w:hint="eastAsia" w:ascii="仿宋" w:hAnsi="仿宋" w:eastAsia="仿宋" w:cs="仿宋"/>
          <w:b/>
          <w:bCs/>
          <w:color w:val="auto"/>
          <w:sz w:val="32"/>
          <w:szCs w:val="32"/>
          <w:shd w:val="clear" w:color="auto" w:fill="FFFFFF"/>
        </w:rPr>
        <w:t>入库奖补分档标准</w:t>
      </w:r>
      <w:r>
        <w:rPr>
          <w:rFonts w:hint="eastAsia" w:ascii="仿宋" w:hAnsi="仿宋" w:eastAsia="仿宋" w:cs="仿宋"/>
          <w:b/>
          <w:bCs/>
          <w:color w:val="auto"/>
          <w:sz w:val="32"/>
          <w:szCs w:val="32"/>
          <w:shd w:val="clear" w:color="auto" w:fill="FFFFFF"/>
          <w:lang w:val="en-US" w:eastAsia="zh-CN"/>
        </w:rPr>
        <w:t xml:space="preserve"> </w:t>
      </w:r>
    </w:p>
    <w:tbl>
      <w:tblPr>
        <w:tblStyle w:val="10"/>
        <w:tblpPr w:leftFromText="180" w:rightFromText="180" w:vertAnchor="text" w:horzAnchor="margin" w:tblpXSpec="center" w:tblpY="4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gridCol w:w="163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ind w:firstLine="481" w:firstLineChars="200"/>
              <w:jc w:val="center"/>
              <w:rPr>
                <w:rFonts w:hint="eastAsia" w:ascii="仿宋" w:hAnsi="仿宋" w:eastAsia="仿宋" w:cs="仿宋"/>
                <w:b/>
                <w:color w:val="auto"/>
                <w:sz w:val="24"/>
                <w:szCs w:val="24"/>
              </w:rPr>
            </w:pPr>
            <w:r>
              <w:rPr>
                <w:rFonts w:hint="eastAsia" w:ascii="仿宋" w:hAnsi="仿宋" w:eastAsia="仿宋" w:cs="仿宋"/>
                <w:b/>
                <w:color w:val="auto"/>
                <w:sz w:val="24"/>
                <w:szCs w:val="24"/>
                <w:shd w:val="clear" w:color="auto" w:fill="FFFFFF"/>
              </w:rPr>
              <w:t>奖补条件及具体要求</w:t>
            </w:r>
          </w:p>
        </w:tc>
        <w:tc>
          <w:tcPr>
            <w:tcW w:w="1633" w:type="dxa"/>
            <w:tcBorders>
              <w:top w:val="single" w:color="auto" w:sz="4" w:space="0"/>
              <w:left w:val="single" w:color="auto" w:sz="4" w:space="0"/>
              <w:bottom w:val="single" w:color="auto" w:sz="4" w:space="0"/>
              <w:right w:val="single" w:color="auto" w:sz="4" w:space="0"/>
            </w:tcBorders>
            <w:noWrap w:val="0"/>
            <w:vAlign w:val="top"/>
          </w:tcPr>
          <w:p>
            <w:pPr>
              <w:pStyle w:val="9"/>
              <w:widowControl/>
              <w:spacing w:line="400" w:lineRule="exact"/>
              <w:jc w:val="both"/>
              <w:rPr>
                <w:rFonts w:hint="eastAsia" w:ascii="仿宋" w:hAnsi="仿宋" w:eastAsia="仿宋" w:cs="仿宋"/>
                <w:b/>
                <w:color w:val="auto"/>
                <w:sz w:val="24"/>
                <w:szCs w:val="24"/>
                <w:shd w:val="clear" w:color="auto" w:fill="FFFFFF"/>
              </w:rPr>
            </w:pPr>
            <w:r>
              <w:rPr>
                <w:rFonts w:hint="eastAsia" w:ascii="仿宋" w:hAnsi="仿宋" w:eastAsia="仿宋" w:cs="仿宋"/>
                <w:b/>
                <w:color w:val="auto"/>
                <w:sz w:val="24"/>
                <w:szCs w:val="24"/>
                <w:shd w:val="clear" w:color="auto" w:fill="FFFFFF"/>
              </w:rPr>
              <w:t>同时满足  条件情况</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b/>
                <w:color w:val="auto"/>
                <w:sz w:val="24"/>
                <w:szCs w:val="24"/>
                <w:shd w:val="clear" w:color="auto" w:fill="FFFFFF"/>
              </w:rPr>
            </w:pPr>
            <w:r>
              <w:rPr>
                <w:rFonts w:hint="eastAsia" w:ascii="仿宋" w:hAnsi="仿宋" w:eastAsia="仿宋" w:cs="仿宋"/>
                <w:b/>
                <w:color w:val="auto"/>
                <w:sz w:val="24"/>
                <w:szCs w:val="24"/>
                <w:shd w:val="clear" w:color="auto" w:fill="FFFFFF"/>
              </w:rPr>
              <w:t>对应奖补标准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5495" w:type="dxa"/>
            <w:vMerge w:val="restart"/>
            <w:tcBorders>
              <w:top w:val="single" w:color="auto" w:sz="4" w:space="0"/>
              <w:left w:val="single" w:color="auto" w:sz="4" w:space="0"/>
              <w:bottom w:val="single" w:color="auto" w:sz="4" w:space="0"/>
              <w:right w:val="single" w:color="auto" w:sz="4" w:space="0"/>
            </w:tcBorders>
            <w:noWrap w:val="0"/>
            <w:vAlign w:val="top"/>
          </w:tcPr>
          <w:p>
            <w:pPr>
              <w:widowControl/>
              <w:numPr>
                <w:ilvl w:val="0"/>
                <w:numId w:val="2"/>
              </w:numPr>
              <w:topLinePunct/>
              <w:snapToGrid w:val="0"/>
              <w:spacing w:line="56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拥有核心自主知识产权，申报前拥有I类自主知识产权至少1项或近三年内拥有II类自主知识产权至少2项；</w:t>
            </w:r>
          </w:p>
          <w:p>
            <w:pPr>
              <w:widowControl/>
              <w:numPr>
                <w:ilvl w:val="0"/>
                <w:numId w:val="0"/>
              </w:numPr>
              <w:topLinePunct/>
              <w:snapToGrid w:val="0"/>
              <w:spacing w:line="560" w:lineRule="exact"/>
              <w:rPr>
                <w:rFonts w:hint="eastAsia" w:ascii="仿宋" w:hAnsi="仿宋" w:eastAsia="仿宋" w:cs="仿宋"/>
                <w:b/>
                <w:bCs/>
                <w:color w:val="auto"/>
                <w:sz w:val="24"/>
                <w:szCs w:val="24"/>
                <w:shd w:val="clear" w:color="auto" w:fill="FFFFFF"/>
              </w:rPr>
            </w:pPr>
            <w:r>
              <w:rPr>
                <w:rFonts w:hint="eastAsia" w:ascii="仿宋" w:hAnsi="仿宋" w:eastAsia="仿宋" w:cs="仿宋"/>
                <w:color w:val="auto"/>
                <w:sz w:val="24"/>
                <w:szCs w:val="24"/>
                <w:shd w:val="clear" w:color="auto" w:fill="FFFFFF"/>
              </w:rPr>
              <w:t>2.近一年高新技术产品（服务）收入占企业同期总收入的比例≧60%；</w:t>
            </w:r>
          </w:p>
          <w:p>
            <w:pPr>
              <w:widowControl/>
              <w:topLinePunct/>
              <w:snapToGrid w:val="0"/>
              <w:spacing w:line="560" w:lineRule="exact"/>
              <w:rPr>
                <w:rFonts w:hint="eastAsia" w:ascii="仿宋" w:hAnsi="仿宋" w:eastAsia="仿宋" w:cs="仿宋"/>
                <w:b/>
                <w:bCs/>
                <w:color w:val="auto"/>
                <w:kern w:val="0"/>
                <w:sz w:val="24"/>
                <w:szCs w:val="24"/>
                <w:shd w:val="clear" w:color="auto" w:fill="FFFFFF"/>
              </w:rPr>
            </w:pPr>
            <w:r>
              <w:rPr>
                <w:rFonts w:hint="eastAsia" w:ascii="仿宋" w:hAnsi="仿宋" w:eastAsia="仿宋" w:cs="仿宋"/>
                <w:color w:val="auto"/>
                <w:kern w:val="0"/>
                <w:sz w:val="24"/>
                <w:szCs w:val="24"/>
                <w:shd w:val="clear" w:color="auto" w:fill="FFFFFF"/>
              </w:rPr>
              <w:t>3.近一年研究开发费用总额占同期销售总额比例符合如下要求：</w:t>
            </w:r>
          </w:p>
          <w:p>
            <w:pPr>
              <w:widowControl/>
              <w:topLinePunct/>
              <w:snapToGrid w:val="0"/>
              <w:spacing w:line="560" w:lineRule="exact"/>
              <w:rPr>
                <w:rFonts w:hint="eastAsia" w:ascii="仿宋" w:hAnsi="仿宋" w:eastAsia="仿宋" w:cs="仿宋"/>
                <w:color w:val="auto"/>
                <w:kern w:val="0"/>
                <w:sz w:val="24"/>
                <w:szCs w:val="24"/>
                <w:shd w:val="clear" w:color="auto" w:fill="FFFFFF"/>
              </w:rPr>
            </w:pPr>
            <w:r>
              <w:rPr>
                <w:rFonts w:hint="eastAsia" w:ascii="仿宋" w:hAnsi="仿宋" w:eastAsia="仿宋" w:cs="仿宋"/>
                <w:color w:val="auto"/>
                <w:kern w:val="0"/>
                <w:sz w:val="24"/>
                <w:szCs w:val="24"/>
                <w:shd w:val="clear" w:color="auto" w:fill="FFFFFF"/>
              </w:rPr>
              <w:t>（1）最近一年销售收入小于5000万元（含）的企业，比例不低于5%；</w:t>
            </w:r>
          </w:p>
          <w:p>
            <w:pPr>
              <w:widowControl/>
              <w:topLinePunct/>
              <w:snapToGrid w:val="0"/>
              <w:spacing w:line="560" w:lineRule="exact"/>
              <w:rPr>
                <w:rFonts w:hint="eastAsia" w:ascii="仿宋" w:hAnsi="仿宋" w:eastAsia="仿宋" w:cs="仿宋"/>
                <w:color w:val="auto"/>
                <w:kern w:val="0"/>
                <w:sz w:val="24"/>
                <w:szCs w:val="24"/>
                <w:shd w:val="clear" w:color="auto" w:fill="FFFFFF"/>
              </w:rPr>
            </w:pPr>
            <w:r>
              <w:rPr>
                <w:rFonts w:hint="eastAsia" w:ascii="仿宋" w:hAnsi="仿宋" w:eastAsia="仿宋" w:cs="仿宋"/>
                <w:color w:val="auto"/>
                <w:kern w:val="0"/>
                <w:sz w:val="24"/>
                <w:szCs w:val="24"/>
                <w:shd w:val="clear" w:color="auto" w:fill="FFFFFF"/>
              </w:rPr>
              <w:t xml:space="preserve">（2）最近一年销售收入在5000万元至2亿元（含）的企业，比例不低于4%；   </w:t>
            </w:r>
          </w:p>
          <w:p>
            <w:pPr>
              <w:widowControl/>
              <w:topLinePunct/>
              <w:snapToGrid w:val="0"/>
              <w:spacing w:line="560" w:lineRule="exact"/>
              <w:rPr>
                <w:rFonts w:hint="eastAsia" w:ascii="仿宋" w:hAnsi="仿宋" w:eastAsia="仿宋" w:cs="仿宋"/>
                <w:color w:val="auto"/>
                <w:kern w:val="0"/>
                <w:sz w:val="24"/>
                <w:szCs w:val="24"/>
                <w:shd w:val="clear" w:color="auto" w:fill="FFFFFF"/>
              </w:rPr>
            </w:pPr>
            <w:r>
              <w:rPr>
                <w:rFonts w:hint="eastAsia" w:ascii="仿宋" w:hAnsi="仿宋" w:eastAsia="仿宋" w:cs="仿宋"/>
                <w:color w:val="auto"/>
                <w:kern w:val="0"/>
                <w:sz w:val="24"/>
                <w:szCs w:val="24"/>
                <w:shd w:val="clear" w:color="auto" w:fill="FFFFFF"/>
              </w:rPr>
              <w:t>（3）最近一年销售收入在2亿元以上的企业，比例不低于3%。</w:t>
            </w:r>
          </w:p>
          <w:p>
            <w:pPr>
              <w:pStyle w:val="9"/>
              <w:widowControl/>
              <w:spacing w:line="560" w:lineRule="exact"/>
              <w:rPr>
                <w:rFonts w:hint="eastAsia" w:ascii="仿宋" w:hAnsi="仿宋" w:eastAsia="仿宋" w:cs="仿宋"/>
                <w:b/>
                <w:bCs/>
                <w:color w:val="auto"/>
                <w:sz w:val="24"/>
                <w:szCs w:val="24"/>
                <w:shd w:val="clear" w:color="auto" w:fill="FFFFFF"/>
              </w:rPr>
            </w:pPr>
            <w:r>
              <w:rPr>
                <w:rFonts w:hint="eastAsia" w:ascii="仿宋" w:hAnsi="仿宋" w:eastAsia="仿宋" w:cs="仿宋"/>
                <w:color w:val="auto"/>
                <w:sz w:val="24"/>
                <w:szCs w:val="24"/>
                <w:shd w:val="clear" w:color="auto" w:fill="FFFFFF"/>
              </w:rPr>
              <w:t>4.创新能力评价达70分以上（不含70分）。</w:t>
            </w:r>
          </w:p>
        </w:tc>
        <w:tc>
          <w:tcPr>
            <w:tcW w:w="1633"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color w:val="auto"/>
                <w:sz w:val="24"/>
                <w:szCs w:val="24"/>
                <w:shd w:val="clear" w:color="auto" w:fill="FFFFFF"/>
                <w:lang w:eastAsia="zh-CN"/>
              </w:rPr>
            </w:pPr>
            <w:r>
              <w:rPr>
                <w:rFonts w:hint="eastAsia" w:ascii="仿宋" w:hAnsi="仿宋" w:eastAsia="仿宋" w:cs="仿宋"/>
                <w:color w:val="auto"/>
                <w:sz w:val="24"/>
                <w:szCs w:val="24"/>
                <w:shd w:val="clear" w:color="auto" w:fill="FFFFFF"/>
                <w:lang w:val="en-US" w:eastAsia="zh-CN"/>
              </w:rPr>
              <w:t>1个条件</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5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b/>
                <w:bCs/>
                <w:color w:val="auto"/>
                <w:kern w:val="0"/>
                <w:sz w:val="24"/>
                <w:szCs w:val="24"/>
                <w:shd w:val="clear" w:color="auto" w:fill="FFFFFF"/>
              </w:rPr>
            </w:pPr>
          </w:p>
        </w:tc>
        <w:tc>
          <w:tcPr>
            <w:tcW w:w="1633"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2个条件</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上一年度应纳税所得额*3%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5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b/>
                <w:bCs/>
                <w:color w:val="auto"/>
                <w:kern w:val="0"/>
                <w:sz w:val="24"/>
                <w:szCs w:val="24"/>
                <w:shd w:val="clear" w:color="auto" w:fill="FFFFFF"/>
              </w:rPr>
            </w:pPr>
          </w:p>
        </w:tc>
        <w:tc>
          <w:tcPr>
            <w:tcW w:w="1633"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3个条件</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上一年度应纳税所得额*4%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54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b/>
                <w:bCs/>
                <w:color w:val="auto"/>
                <w:kern w:val="0"/>
                <w:sz w:val="24"/>
                <w:szCs w:val="24"/>
                <w:shd w:val="clear" w:color="auto" w:fill="FFFFFF"/>
              </w:rPr>
            </w:pPr>
          </w:p>
        </w:tc>
        <w:tc>
          <w:tcPr>
            <w:tcW w:w="1633"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jc w:val="both"/>
              <w:rPr>
                <w:rFonts w:hint="eastAsia" w:ascii="仿宋" w:hAnsi="仿宋" w:eastAsia="仿宋" w:cs="仿宋"/>
                <w:b/>
                <w:color w:val="auto"/>
                <w:sz w:val="24"/>
                <w:szCs w:val="24"/>
                <w:shd w:val="clear" w:color="auto" w:fill="FFFFFF"/>
              </w:rPr>
            </w:pPr>
            <w:r>
              <w:rPr>
                <w:rFonts w:hint="eastAsia" w:ascii="仿宋" w:hAnsi="仿宋" w:eastAsia="仿宋" w:cs="仿宋"/>
                <w:color w:val="auto"/>
                <w:sz w:val="24"/>
                <w:szCs w:val="24"/>
                <w:shd w:val="clear" w:color="auto" w:fill="FFFFFF"/>
              </w:rPr>
              <w:t>4个条件</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widowControl/>
              <w:spacing w:line="560" w:lineRule="exact"/>
              <w:rPr>
                <w:rFonts w:hint="eastAsia" w:ascii="仿宋" w:hAnsi="仿宋" w:eastAsia="仿宋" w:cs="仿宋"/>
                <w:b/>
                <w:color w:val="auto"/>
                <w:sz w:val="24"/>
                <w:szCs w:val="24"/>
                <w:shd w:val="clear" w:color="auto" w:fill="FFFFFF"/>
              </w:rPr>
            </w:pPr>
            <w:r>
              <w:rPr>
                <w:rFonts w:hint="eastAsia" w:ascii="仿宋" w:hAnsi="仿宋" w:eastAsia="仿宋" w:cs="仿宋"/>
                <w:color w:val="auto"/>
                <w:sz w:val="24"/>
                <w:szCs w:val="24"/>
                <w:shd w:val="clear" w:color="auto" w:fill="FFFFFF"/>
              </w:rPr>
              <w:t>上一年度应纳税所得额*5%</w:t>
            </w:r>
          </w:p>
        </w:tc>
      </w:tr>
    </w:tbl>
    <w:p>
      <w:pPr>
        <w:widowControl/>
        <w:topLinePunct/>
        <w:snapToGrid w:val="0"/>
        <w:spacing w:line="560" w:lineRule="exact"/>
        <w:ind w:firstLine="640" w:firstLineChars="200"/>
        <w:rPr>
          <w:rFonts w:hint="eastAsia" w:ascii="仿宋" w:hAnsi="仿宋" w:eastAsia="仿宋" w:cs="仿宋"/>
          <w:color w:val="auto"/>
          <w:kern w:val="0"/>
          <w:sz w:val="32"/>
          <w:szCs w:val="32"/>
          <w:shd w:val="clear" w:color="auto" w:fill="FFFFFF"/>
        </w:rPr>
      </w:pPr>
      <w:r>
        <w:rPr>
          <w:rFonts w:hint="eastAsia" w:ascii="仿宋" w:hAnsi="仿宋" w:eastAsia="仿宋" w:cs="仿宋"/>
          <w:color w:val="auto"/>
          <w:kern w:val="0"/>
          <w:sz w:val="32"/>
          <w:szCs w:val="32"/>
          <w:shd w:val="clear" w:color="auto" w:fill="FFFFFF"/>
        </w:rPr>
        <w:t>入库企业满足2个条件及以上的，入库奖补标准为上一年度应纳税所得额*相应比例计算所得奖补金额；上述计算公式所得奖补金额小于20万元的，按20万元计；大于20万元的，按计算公式所得奖补金额计，最高不超过200万元。</w:t>
      </w:r>
    </w:p>
    <w:p>
      <w:pPr>
        <w:widowControl/>
        <w:topLinePunct/>
        <w:snapToGrid w:val="0"/>
        <w:spacing w:line="560" w:lineRule="exact"/>
        <w:ind w:firstLine="640" w:firstLineChars="200"/>
        <w:rPr>
          <w:rFonts w:hint="eastAsia" w:ascii="仿宋" w:hAnsi="仿宋" w:eastAsia="仿宋" w:cs="仿宋"/>
          <w:color w:val="auto"/>
          <w:kern w:val="0"/>
          <w:sz w:val="32"/>
          <w:szCs w:val="32"/>
          <w:shd w:val="clear" w:color="auto" w:fill="FFFFFF"/>
        </w:rPr>
      </w:pPr>
      <w:r>
        <w:rPr>
          <w:rFonts w:hint="eastAsia" w:ascii="仿宋" w:hAnsi="仿宋" w:eastAsia="仿宋" w:cs="仿宋"/>
          <w:color w:val="auto"/>
          <w:kern w:val="0"/>
          <w:sz w:val="32"/>
          <w:szCs w:val="32"/>
          <w:shd w:val="clear" w:color="auto" w:fill="FFFFFF"/>
          <w:lang w:eastAsia="zh-CN"/>
        </w:rPr>
        <w:t>出库奖补标准：</w:t>
      </w:r>
      <w:r>
        <w:rPr>
          <w:rFonts w:hint="eastAsia" w:ascii="仿宋" w:hAnsi="仿宋" w:eastAsia="仿宋" w:cs="仿宋"/>
          <w:color w:val="auto"/>
          <w:kern w:val="0"/>
          <w:sz w:val="32"/>
          <w:szCs w:val="32"/>
          <w:shd w:val="clear" w:color="auto" w:fill="FFFFFF"/>
        </w:rPr>
        <w:t>省级高新技术企业培育库中通过国家高新技术企业认定的企业，即确认为出库企业，给予出库奖励；出库当年每家给予补助20万元。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321" w:firstLineChars="100"/>
        <w:rPr>
          <w:rFonts w:hint="eastAsia" w:ascii="楷体_GB2312" w:hAnsi="宋体" w:eastAsia="楷体_GB2312" w:cs="楷体_GB2312"/>
          <w:b/>
          <w:bCs/>
          <w:color w:val="auto"/>
          <w:sz w:val="32"/>
          <w:szCs w:val="32"/>
          <w:lang w:eastAsia="zh-CN"/>
        </w:rPr>
      </w:pPr>
      <w:r>
        <w:rPr>
          <w:rFonts w:hint="eastAsia" w:ascii="楷体_GB2312" w:hAnsi="宋体" w:eastAsia="楷体_GB2312" w:cs="楷体_GB2312"/>
          <w:b/>
          <w:bCs/>
          <w:color w:val="auto"/>
          <w:sz w:val="32"/>
          <w:szCs w:val="32"/>
          <w:lang w:eastAsia="zh-CN"/>
        </w:rPr>
        <w:t>（二）项目总体绩效目标</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研发投入的绩效目标：</w:t>
      </w:r>
      <w:r>
        <w:rPr>
          <w:rFonts w:hint="eastAsia" w:ascii="仿宋" w:hAnsi="仿宋" w:eastAsia="仿宋" w:cs="仿宋"/>
          <w:color w:val="auto"/>
          <w:sz w:val="32"/>
          <w:szCs w:val="32"/>
        </w:rPr>
        <w:t>201</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三明市</w:t>
      </w:r>
      <w:r>
        <w:rPr>
          <w:rFonts w:hint="eastAsia" w:ascii="仿宋" w:hAnsi="仿宋" w:eastAsia="仿宋" w:cs="仿宋"/>
          <w:color w:val="auto"/>
          <w:sz w:val="32"/>
          <w:szCs w:val="32"/>
        </w:rPr>
        <w:t>全社会R&amp;D经费投入</w:t>
      </w:r>
      <w:r>
        <w:rPr>
          <w:rFonts w:hint="eastAsia" w:ascii="仿宋" w:hAnsi="仿宋" w:eastAsia="仿宋" w:cs="仿宋"/>
          <w:color w:val="auto"/>
          <w:sz w:val="32"/>
          <w:szCs w:val="32"/>
          <w:lang w:eastAsia="zh-CN"/>
        </w:rPr>
        <w:t>增长率</w:t>
      </w:r>
      <w:r>
        <w:rPr>
          <w:rFonts w:hint="eastAsia" w:ascii="仿宋" w:hAnsi="仿宋" w:eastAsia="仿宋" w:cs="仿宋"/>
          <w:color w:val="auto"/>
          <w:sz w:val="32"/>
          <w:szCs w:val="32"/>
          <w:lang w:val="en-US" w:eastAsia="zh-CN"/>
        </w:rPr>
        <w:t>18.4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投入强度</w:t>
      </w:r>
      <w:r>
        <w:rPr>
          <w:rFonts w:hint="eastAsia" w:ascii="仿宋" w:hAnsi="仿宋" w:eastAsia="仿宋" w:cs="仿宋"/>
          <w:color w:val="auto"/>
          <w:sz w:val="32"/>
          <w:szCs w:val="32"/>
          <w:lang w:val="en-US" w:eastAsia="zh-CN"/>
        </w:rPr>
        <w:t>1.8</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rPr>
        <w:t>实现企业研发费用税前加计扣除额（错年值）</w:t>
      </w:r>
      <w:r>
        <w:rPr>
          <w:rFonts w:hint="eastAsia" w:ascii="仿宋" w:hAnsi="仿宋" w:eastAsia="仿宋" w:cs="仿宋"/>
          <w:color w:val="auto"/>
          <w:kern w:val="0"/>
          <w:sz w:val="32"/>
          <w:szCs w:val="32"/>
          <w:lang w:val="en-US" w:eastAsia="zh-CN"/>
        </w:rPr>
        <w:t>4.5亿元</w:t>
      </w:r>
      <w:r>
        <w:rPr>
          <w:rFonts w:hint="eastAsia" w:ascii="仿宋" w:hAnsi="仿宋" w:eastAsia="仿宋" w:cs="仿宋"/>
          <w:color w:val="auto"/>
          <w:sz w:val="32"/>
          <w:szCs w:val="32"/>
        </w:rPr>
        <w:t>。</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sz w:val="32"/>
          <w:szCs w:val="32"/>
          <w:lang w:eastAsia="zh-CN"/>
        </w:rPr>
        <w:t>机构建设的绩效目标：</w:t>
      </w:r>
      <w:r>
        <w:rPr>
          <w:rFonts w:hint="eastAsia" w:ascii="仿宋" w:hAnsi="仿宋" w:eastAsia="仿宋" w:cs="仿宋"/>
          <w:color w:val="auto"/>
          <w:kern w:val="0"/>
          <w:sz w:val="32"/>
          <w:szCs w:val="32"/>
          <w:lang w:eastAsia="zh-CN"/>
        </w:rPr>
        <w:t>三明市经认定省级新型研发机构</w:t>
      </w:r>
      <w:r>
        <w:rPr>
          <w:rFonts w:hint="eastAsia" w:ascii="仿宋" w:hAnsi="仿宋" w:eastAsia="仿宋" w:cs="仿宋"/>
          <w:color w:val="auto"/>
          <w:kern w:val="0"/>
          <w:sz w:val="32"/>
          <w:szCs w:val="32"/>
          <w:lang w:val="en-US" w:eastAsia="zh-CN"/>
        </w:rPr>
        <w:t>8个，</w:t>
      </w:r>
      <w:r>
        <w:rPr>
          <w:rFonts w:hint="eastAsia" w:ascii="仿宋" w:hAnsi="仿宋" w:eastAsia="仿宋" w:cs="仿宋"/>
          <w:color w:val="auto"/>
          <w:kern w:val="0"/>
          <w:sz w:val="32"/>
          <w:szCs w:val="32"/>
          <w:lang w:eastAsia="zh-CN"/>
        </w:rPr>
        <w:t>新增认定省级科技企业孵化器数量</w:t>
      </w:r>
      <w:r>
        <w:rPr>
          <w:rFonts w:hint="eastAsia" w:ascii="仿宋" w:hAnsi="仿宋" w:eastAsia="仿宋" w:cs="仿宋"/>
          <w:color w:val="auto"/>
          <w:kern w:val="0"/>
          <w:sz w:val="32"/>
          <w:szCs w:val="32"/>
          <w:lang w:val="en-US" w:eastAsia="zh-CN"/>
        </w:rPr>
        <w:t>1家，</w:t>
      </w:r>
      <w:r>
        <w:rPr>
          <w:rFonts w:hint="eastAsia" w:ascii="仿宋" w:hAnsi="仿宋" w:eastAsia="仿宋" w:cs="仿宋"/>
          <w:color w:val="auto"/>
          <w:kern w:val="0"/>
          <w:sz w:val="32"/>
          <w:szCs w:val="32"/>
          <w:lang w:eastAsia="zh-CN"/>
        </w:rPr>
        <w:t>新增认定省级备案众创空间数量</w:t>
      </w:r>
      <w:r>
        <w:rPr>
          <w:rFonts w:hint="eastAsia" w:ascii="仿宋" w:hAnsi="仿宋" w:eastAsia="仿宋" w:cs="仿宋"/>
          <w:color w:val="auto"/>
          <w:kern w:val="0"/>
          <w:sz w:val="32"/>
          <w:szCs w:val="32"/>
          <w:lang w:val="en-US" w:eastAsia="zh-CN"/>
        </w:rPr>
        <w:t>1家，新增孵化器、众创空间年收入额50万元，孵化器入驻企业年营业收入增长率20%。</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高新技术企业发展绩效目标：</w:t>
      </w:r>
      <w:r>
        <w:rPr>
          <w:rFonts w:hint="eastAsia" w:ascii="仿宋" w:hAnsi="仿宋" w:eastAsia="仿宋" w:cs="仿宋"/>
          <w:color w:val="auto"/>
          <w:kern w:val="0"/>
          <w:sz w:val="32"/>
          <w:szCs w:val="32"/>
          <w:lang w:eastAsia="zh-CN"/>
        </w:rPr>
        <w:t>奖励新增入库省级高新技术企业数量</w:t>
      </w:r>
      <w:r>
        <w:rPr>
          <w:rFonts w:hint="eastAsia" w:ascii="仿宋" w:hAnsi="仿宋" w:eastAsia="仿宋" w:cs="仿宋"/>
          <w:color w:val="auto"/>
          <w:kern w:val="0"/>
          <w:sz w:val="32"/>
          <w:szCs w:val="32"/>
          <w:lang w:val="en-US" w:eastAsia="zh-CN"/>
        </w:rPr>
        <w:t>36家，</w:t>
      </w:r>
      <w:r>
        <w:rPr>
          <w:rFonts w:hint="eastAsia" w:ascii="仿宋" w:hAnsi="仿宋" w:eastAsia="仿宋" w:cs="仿宋"/>
          <w:color w:val="auto"/>
          <w:kern w:val="0"/>
          <w:sz w:val="32"/>
          <w:szCs w:val="32"/>
          <w:lang w:eastAsia="zh-CN"/>
        </w:rPr>
        <w:t>奖励出库省级高新技术企业数量</w:t>
      </w:r>
      <w:r>
        <w:rPr>
          <w:rFonts w:hint="eastAsia" w:ascii="仿宋" w:hAnsi="仿宋" w:eastAsia="仿宋" w:cs="仿宋"/>
          <w:color w:val="auto"/>
          <w:kern w:val="0"/>
          <w:sz w:val="32"/>
          <w:szCs w:val="32"/>
          <w:lang w:val="en-US" w:eastAsia="zh-CN"/>
        </w:rPr>
        <w:t>25家，</w:t>
      </w:r>
      <w:r>
        <w:rPr>
          <w:rFonts w:hint="eastAsia" w:ascii="仿宋" w:hAnsi="仿宋" w:eastAsia="仿宋" w:cs="仿宋"/>
          <w:color w:val="auto"/>
          <w:kern w:val="0"/>
          <w:sz w:val="32"/>
          <w:szCs w:val="32"/>
          <w:lang w:eastAsia="zh-CN"/>
        </w:rPr>
        <w:t>三明市有效省级高新技术企业数量</w:t>
      </w:r>
      <w:r>
        <w:rPr>
          <w:rFonts w:hint="eastAsia" w:ascii="仿宋" w:hAnsi="仿宋" w:eastAsia="仿宋" w:cs="仿宋"/>
          <w:color w:val="auto"/>
          <w:kern w:val="0"/>
          <w:sz w:val="32"/>
          <w:szCs w:val="32"/>
          <w:lang w:val="en-US" w:eastAsia="zh-CN"/>
        </w:rPr>
        <w:t>80家，</w:t>
      </w:r>
      <w:r>
        <w:rPr>
          <w:rFonts w:hint="eastAsia" w:ascii="仿宋" w:hAnsi="仿宋" w:eastAsia="仿宋" w:cs="仿宋"/>
          <w:color w:val="auto"/>
          <w:kern w:val="0"/>
          <w:sz w:val="32"/>
          <w:szCs w:val="32"/>
          <w:lang w:eastAsia="zh-CN"/>
        </w:rPr>
        <w:t>三明市有效国家高新技术企业数量</w:t>
      </w:r>
      <w:r>
        <w:rPr>
          <w:rFonts w:hint="eastAsia" w:ascii="仿宋" w:hAnsi="仿宋" w:eastAsia="仿宋" w:cs="仿宋"/>
          <w:color w:val="auto"/>
          <w:kern w:val="0"/>
          <w:sz w:val="32"/>
          <w:szCs w:val="32"/>
          <w:lang w:val="en-US" w:eastAsia="zh-CN"/>
        </w:rPr>
        <w:t>115家，</w:t>
      </w:r>
      <w:r>
        <w:rPr>
          <w:rFonts w:hint="eastAsia" w:ascii="仿宋" w:hAnsi="仿宋" w:eastAsia="仿宋" w:cs="仿宋"/>
          <w:color w:val="auto"/>
          <w:kern w:val="0"/>
          <w:sz w:val="32"/>
          <w:szCs w:val="32"/>
        </w:rPr>
        <w:t>高新技术企业销售收入增长率</w:t>
      </w:r>
      <w:r>
        <w:rPr>
          <w:rFonts w:hint="eastAsia" w:ascii="仿宋" w:hAnsi="仿宋" w:eastAsia="仿宋" w:cs="仿宋"/>
          <w:color w:val="auto"/>
          <w:kern w:val="0"/>
          <w:sz w:val="32"/>
          <w:szCs w:val="32"/>
          <w:lang w:val="en-US" w:eastAsia="zh-CN"/>
        </w:rPr>
        <w:t>20%，三明市高新技术企业就业人数增长率10%。</w:t>
      </w:r>
    </w:p>
    <w:p>
      <w:pPr>
        <w:pStyle w:val="2"/>
        <w:rPr>
          <w:rFonts w:hint="default"/>
          <w:color w:val="auto"/>
          <w:lang w:val="en-US" w:eastAsia="zh-CN"/>
        </w:rPr>
      </w:pPr>
      <w:r>
        <w:rPr>
          <w:rFonts w:hint="eastAsia" w:ascii="仿宋" w:hAnsi="仿宋" w:eastAsia="仿宋" w:cs="仿宋"/>
          <w:color w:val="auto"/>
          <w:kern w:val="0"/>
          <w:sz w:val="32"/>
          <w:szCs w:val="32"/>
          <w:lang w:val="en-US" w:eastAsia="zh-CN"/>
        </w:rPr>
        <w:t>服务对象满意度：90%。</w:t>
      </w:r>
    </w:p>
    <w:p>
      <w:pPr>
        <w:keepNext w:val="0"/>
        <w:keepLines w:val="0"/>
        <w:pageBreakBefore w:val="0"/>
        <w:kinsoku/>
        <w:wordWrap/>
        <w:overflowPunct/>
        <w:topLinePunct w:val="0"/>
        <w:autoSpaceDE/>
        <w:autoSpaceDN/>
        <w:bidi w:val="0"/>
        <w:adjustRightInd/>
        <w:snapToGrid/>
        <w:spacing w:line="520" w:lineRule="exact"/>
        <w:ind w:firstLine="642" w:firstLineChars="200"/>
        <w:rPr>
          <w:rFonts w:hint="default" w:ascii="楷体_GB2312" w:hAnsi="宋体" w:eastAsia="楷体_GB2312" w:cs="楷体_GB2312"/>
          <w:color w:val="auto"/>
          <w:sz w:val="32"/>
          <w:szCs w:val="32"/>
          <w:lang w:val="en-US" w:eastAsia="zh-CN"/>
        </w:rPr>
      </w:pPr>
      <w:r>
        <w:rPr>
          <w:rFonts w:hint="eastAsia" w:ascii="楷体_GB2312" w:hAnsi="宋体" w:eastAsia="楷体_GB2312" w:cs="楷体_GB2312"/>
          <w:b/>
          <w:bCs/>
          <w:color w:val="auto"/>
          <w:sz w:val="32"/>
          <w:szCs w:val="32"/>
          <w:lang w:eastAsia="zh-CN"/>
        </w:rPr>
        <w:t>（三）</w:t>
      </w:r>
      <w:r>
        <w:rPr>
          <w:rFonts w:hint="eastAsia" w:ascii="楷体_GB2312" w:hAnsi="宋体" w:eastAsia="楷体_GB2312" w:cs="楷体_GB2312"/>
          <w:b/>
          <w:bCs/>
          <w:color w:val="auto"/>
          <w:sz w:val="32"/>
          <w:szCs w:val="32"/>
        </w:rPr>
        <w:t>项目资金分配和使用情况</w:t>
      </w:r>
      <w:r>
        <w:rPr>
          <w:rFonts w:hint="eastAsia" w:ascii="楷体_GB2312" w:hAnsi="宋体" w:eastAsia="楷体_GB2312" w:cs="楷体_GB2312"/>
          <w:b/>
          <w:bCs/>
          <w:color w:val="auto"/>
          <w:sz w:val="32"/>
          <w:szCs w:val="32"/>
          <w:lang w:val="en-US" w:eastAsia="zh-CN"/>
        </w:rPr>
        <w:t xml:space="preserve"> </w:t>
      </w:r>
      <w:r>
        <w:rPr>
          <w:rFonts w:hint="eastAsia" w:ascii="楷体_GB2312" w:hAnsi="宋体" w:eastAsia="楷体_GB2312" w:cs="楷体_GB2312"/>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kern w:val="0"/>
          <w:sz w:val="32"/>
          <w:szCs w:val="32"/>
          <w:lang w:val="en-US" w:eastAsia="zh-CN"/>
        </w:rPr>
        <w:t>全年预算数600万元、全年执行数636.26万元，实际下达资金1,297.41万元，其中600万元来自本年度研发经费投入、机构建设及支持高新技术企业发展专项，661.15万元来自市本级专项预算统筹调剂安排，其余36.26万元为上年度剩余预算指标。对76家企业2018年度研发费用落实分段补助，补助市级资金721.13万元；市级资金576.28万元用于2019年度入库省级高新技术企业45家、出库国家高新技术企业41家奖励，</w:t>
      </w:r>
      <w:r>
        <w:rPr>
          <w:rFonts w:hint="eastAsia" w:ascii="仿宋" w:hAnsi="仿宋" w:eastAsia="仿宋" w:cs="仿宋"/>
          <w:color w:val="auto"/>
          <w:sz w:val="32"/>
          <w:szCs w:val="32"/>
        </w:rPr>
        <w:t>项目资金到位率</w:t>
      </w:r>
      <w:r>
        <w:rPr>
          <w:rFonts w:hint="eastAsia" w:ascii="仿宋" w:hAnsi="仿宋" w:eastAsia="仿宋" w:cs="仿宋"/>
          <w:color w:val="auto"/>
          <w:sz w:val="32"/>
          <w:szCs w:val="32"/>
          <w:lang w:val="en-US" w:eastAsia="zh-CN"/>
        </w:rPr>
        <w:t>216.24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预算执行</w:t>
      </w:r>
      <w:r>
        <w:rPr>
          <w:rFonts w:hint="eastAsia" w:ascii="仿宋" w:hAnsi="仿宋" w:eastAsia="仿宋" w:cs="仿宋"/>
          <w:color w:val="auto"/>
          <w:sz w:val="32"/>
          <w:szCs w:val="32"/>
        </w:rPr>
        <w:t>率</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详见表</w:t>
      </w:r>
      <w:r>
        <w:rPr>
          <w:rFonts w:hint="eastAsia" w:ascii="仿宋" w:hAnsi="仿宋" w:eastAsia="仿宋" w:cs="仿宋"/>
          <w:color w:val="auto"/>
          <w:sz w:val="32"/>
          <w:szCs w:val="32"/>
          <w:lang w:val="en-US" w:eastAsia="zh-CN"/>
        </w:rPr>
        <w:t>1-4、表1-5。</w:t>
      </w:r>
    </w:p>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表1-4：2018年度企业研发经费投入分段补助资金表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0"/>
        <w:gridCol w:w="2095"/>
        <w:gridCol w:w="2197"/>
        <w:gridCol w:w="2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县（市、区）</w:t>
            </w:r>
          </w:p>
        </w:tc>
        <w:tc>
          <w:tcPr>
            <w:tcW w:w="209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补助企业户数（户）</w:t>
            </w:r>
          </w:p>
        </w:tc>
        <w:tc>
          <w:tcPr>
            <w:tcW w:w="2197"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市级承担资金（万元）</w:t>
            </w:r>
          </w:p>
        </w:tc>
        <w:tc>
          <w:tcPr>
            <w:tcW w:w="2425" w:type="dxa"/>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市本级</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210.44</w:t>
            </w:r>
          </w:p>
        </w:tc>
        <w:tc>
          <w:tcPr>
            <w:tcW w:w="2425" w:type="dxa"/>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 xml:space="preserve"> 其中包含：市本级原承担135.16万元及2018年下达693万元与2019年收回617.72万元当中剩余75.28万元，该金额用于支付第三方评估费17.36万元及省级应承担的补助资金57.92万元。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梅列区</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3</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16.86</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三元区</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6</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45.26</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明溪县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3</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13.92</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省级扶贫开发重点县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清流县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3</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16.00</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省级扶贫开发重点县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宁化县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3</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42.21</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省级扶贫开发重点县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大田县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2</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4.00</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尤溪县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10</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123.91</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沙县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12</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58.01</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将乐县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10</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59.89</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泰宁县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13.67</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省级扶贫开发重点县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建宁县</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4</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8.85</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省级扶贫开发重点县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永安市</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12</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108.11</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0"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合计</w:t>
            </w:r>
          </w:p>
        </w:tc>
        <w:tc>
          <w:tcPr>
            <w:tcW w:w="2095"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76</w:t>
            </w:r>
          </w:p>
        </w:tc>
        <w:tc>
          <w:tcPr>
            <w:tcW w:w="2197" w:type="dxa"/>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color w:val="auto"/>
                <w:kern w:val="0"/>
                <w:sz w:val="24"/>
                <w:szCs w:val="24"/>
                <w:vertAlign w:val="baseline"/>
                <w:lang w:val="en-US" w:eastAsia="zh-CN"/>
              </w:rPr>
              <w:t>721.13</w:t>
            </w:r>
          </w:p>
        </w:tc>
        <w:tc>
          <w:tcPr>
            <w:tcW w:w="2425" w:type="dxa"/>
          </w:tcPr>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24"/>
                <w:szCs w:val="24"/>
                <w:vertAlign w:val="baseline"/>
                <w:lang w:val="en-US" w:eastAsia="zh-CN"/>
              </w:rPr>
            </w:pPr>
          </w:p>
        </w:tc>
      </w:tr>
    </w:tbl>
    <w:p>
      <w:pPr>
        <w:keepNext w:val="0"/>
        <w:keepLines w:val="0"/>
        <w:pageBreakBefore w:val="0"/>
        <w:kinsoku/>
        <w:wordWrap/>
        <w:overflowPunct/>
        <w:topLinePunct w:val="0"/>
        <w:autoSpaceDE/>
        <w:autoSpaceDN/>
        <w:bidi w:val="0"/>
        <w:adjustRightInd/>
        <w:snapToGrid/>
        <w:spacing w:line="520" w:lineRule="exact"/>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表1-5:2019年度省级高新技术企业出入库奖补资金安排表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6"/>
        <w:gridCol w:w="1758"/>
        <w:gridCol w:w="1758"/>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0" w:type="auto"/>
            <w:vMerge w:val="restart"/>
            <w:vAlign w:val="center"/>
          </w:tcPr>
          <w:p>
            <w:pPr>
              <w:pStyle w:val="2"/>
              <w:jc w:val="center"/>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县（市、区）</w:t>
            </w:r>
          </w:p>
        </w:tc>
        <w:tc>
          <w:tcPr>
            <w:tcW w:w="0" w:type="auto"/>
            <w:gridSpan w:val="2"/>
            <w:vAlign w:val="center"/>
          </w:tcPr>
          <w:p>
            <w:pPr>
              <w:pStyle w:val="2"/>
              <w:jc w:val="center"/>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入库企业奖补资金（万元）</w:t>
            </w:r>
          </w:p>
        </w:tc>
        <w:tc>
          <w:tcPr>
            <w:tcW w:w="0" w:type="auto"/>
            <w:vMerge w:val="restart"/>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出库企业奖补资金（万元）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0" w:type="auto"/>
            <w:vMerge w:val="continue"/>
            <w:vAlign w:val="center"/>
          </w:tcPr>
          <w:p>
            <w:pPr>
              <w:pStyle w:val="2"/>
              <w:jc w:val="center"/>
              <w:rPr>
                <w:rFonts w:hint="eastAsia" w:ascii="仿宋" w:hAnsi="仿宋" w:eastAsia="仿宋" w:cs="仿宋"/>
                <w:color w:val="auto"/>
                <w:sz w:val="24"/>
                <w:szCs w:val="24"/>
              </w:rPr>
            </w:pPr>
          </w:p>
        </w:tc>
        <w:tc>
          <w:tcPr>
            <w:tcW w:w="1758" w:type="dxa"/>
            <w:vAlign w:val="center"/>
          </w:tcPr>
          <w:p>
            <w:pPr>
              <w:pStyle w:val="2"/>
              <w:ind w:left="0" w:leftChars="0" w:firstLine="0" w:firstLineChars="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第一批</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eastAsia="zh-CN"/>
              </w:rPr>
            </w:pPr>
            <w:r>
              <w:rPr>
                <w:rFonts w:hint="eastAsia" w:ascii="仿宋" w:hAnsi="仿宋" w:eastAsia="仿宋" w:cs="仿宋"/>
                <w:color w:val="auto"/>
                <w:sz w:val="24"/>
                <w:szCs w:val="24"/>
                <w:vertAlign w:val="baseline"/>
                <w:lang w:eastAsia="zh-CN"/>
              </w:rPr>
              <w:t>第二批</w:t>
            </w:r>
          </w:p>
        </w:tc>
        <w:tc>
          <w:tcPr>
            <w:tcW w:w="0" w:type="auto"/>
            <w:vMerge w:val="continue"/>
            <w:vAlign w:val="center"/>
          </w:tcPr>
          <w:p>
            <w:pPr>
              <w:pStyle w:val="2"/>
              <w:jc w:val="center"/>
              <w:rPr>
                <w:rFonts w:hint="eastAsia" w:ascii="仿宋" w:hAnsi="仿宋" w:eastAsia="仿宋" w:cs="仿宋"/>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市本级</w:t>
            </w:r>
          </w:p>
        </w:tc>
        <w:tc>
          <w:tcPr>
            <w:tcW w:w="1758" w:type="dxa"/>
            <w:vAlign w:val="center"/>
          </w:tcPr>
          <w:p>
            <w:pPr>
              <w:pStyle w:val="2"/>
              <w:ind w:left="0" w:leftChars="0" w:firstLine="0" w:firstLineChars="0"/>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梅列区</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6</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三元区</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明溪县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16</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8</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清流县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8</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56.64</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宁化县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80</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大田县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6</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尤溪县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18</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沙县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将乐县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12</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泰宁县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8</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0" w:type="auto"/>
            <w:vAlign w:val="center"/>
          </w:tcPr>
          <w:p>
            <w:pPr>
              <w:pStyle w:val="2"/>
              <w:ind w:left="0" w:leftChars="0" w:firstLine="0" w:firstLineChars="0"/>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建宁县</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32</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永安市</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18</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25.64</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wordWrap/>
              <w:overflowPunct/>
              <w:topLinePunct w:val="0"/>
              <w:autoSpaceDE/>
              <w:autoSpaceDN/>
              <w:bidi w:val="0"/>
              <w:adjustRightInd/>
              <w:snapToGrid/>
              <w:spacing w:line="520" w:lineRule="exact"/>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vertAlign w:val="baseline"/>
                <w:lang w:val="en-US" w:eastAsia="zh-CN"/>
              </w:rPr>
              <w:t>合计</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184</w:t>
            </w:r>
          </w:p>
        </w:tc>
        <w:tc>
          <w:tcPr>
            <w:tcW w:w="1758" w:type="dxa"/>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194.28</w:t>
            </w:r>
          </w:p>
        </w:tc>
        <w:tc>
          <w:tcPr>
            <w:tcW w:w="0" w:type="auto"/>
            <w:vAlign w:val="center"/>
          </w:tcPr>
          <w:p>
            <w:pPr>
              <w:pStyle w:val="2"/>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198</w:t>
            </w:r>
          </w:p>
        </w:tc>
      </w:tr>
    </w:tbl>
    <w:p>
      <w:pPr>
        <w:keepNext w:val="0"/>
        <w:keepLines w:val="0"/>
        <w:pageBreakBefore w:val="0"/>
        <w:numPr>
          <w:ilvl w:val="0"/>
          <w:numId w:val="1"/>
        </w:numPr>
        <w:kinsoku/>
        <w:wordWrap/>
        <w:overflowPunct/>
        <w:topLinePunct w:val="0"/>
        <w:autoSpaceDE/>
        <w:autoSpaceDN/>
        <w:bidi w:val="0"/>
        <w:adjustRightInd/>
        <w:snapToGrid/>
        <w:spacing w:line="520" w:lineRule="exact"/>
        <w:ind w:firstLine="720" w:firstLineChars="200"/>
        <w:rPr>
          <w:rFonts w:ascii="黑体" w:hAnsi="宋体" w:eastAsia="黑体"/>
          <w:color w:val="auto"/>
          <w:sz w:val="36"/>
          <w:szCs w:val="36"/>
        </w:rPr>
      </w:pPr>
      <w:r>
        <w:rPr>
          <w:rFonts w:hint="eastAsia" w:ascii="黑体" w:hAnsi="宋体" w:eastAsia="黑体" w:cs="黑体"/>
          <w:color w:val="auto"/>
          <w:sz w:val="36"/>
          <w:szCs w:val="36"/>
        </w:rPr>
        <w:t>项目绩效评价组织实施情况</w:t>
      </w:r>
    </w:p>
    <w:p>
      <w:pPr>
        <w:keepNext w:val="0"/>
        <w:keepLines w:val="0"/>
        <w:pageBreakBefore w:val="0"/>
        <w:numPr>
          <w:ilvl w:val="0"/>
          <w:numId w:val="3"/>
        </w:numPr>
        <w:kinsoku/>
        <w:wordWrap/>
        <w:overflowPunct/>
        <w:topLinePunct w:val="0"/>
        <w:autoSpaceDE/>
        <w:autoSpaceDN/>
        <w:bidi w:val="0"/>
        <w:adjustRightInd/>
        <w:snapToGrid/>
        <w:spacing w:line="520" w:lineRule="exact"/>
        <w:ind w:left="0" w:firstLine="481" w:firstLineChars="150"/>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评价目的</w:t>
      </w:r>
    </w:p>
    <w:p>
      <w:pPr>
        <w:keepNext w:val="0"/>
        <w:keepLines w:val="0"/>
        <w:pageBreakBefore w:val="0"/>
        <w:kinsoku/>
        <w:wordWrap/>
        <w:overflowPunct/>
        <w:topLinePunct w:val="0"/>
        <w:autoSpaceDE/>
        <w:autoSpaceDN/>
        <w:bidi w:val="0"/>
        <w:adjustRightInd/>
        <w:snapToGrid/>
        <w:spacing w:line="520" w:lineRule="exact"/>
        <w:ind w:firstLine="480" w:firstLineChars="150"/>
        <w:rPr>
          <w:rFonts w:ascii="仿宋_GB2312" w:hAnsi="宋体" w:eastAsia="仿宋_GB2312"/>
          <w:color w:val="auto"/>
          <w:sz w:val="32"/>
          <w:szCs w:val="32"/>
        </w:rPr>
      </w:pPr>
      <w:r>
        <w:rPr>
          <w:rFonts w:hint="eastAsia" w:ascii="仿宋_GB2312" w:hAnsi="宋体" w:eastAsia="仿宋_GB2312" w:cs="仿宋_GB2312"/>
          <w:color w:val="auto"/>
          <w:sz w:val="32"/>
          <w:szCs w:val="32"/>
        </w:rPr>
        <w:t>本次评价的目的主要是通过开展绩效评价工作，独立、客观、公正地核查</w:t>
      </w: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年度</w:t>
      </w:r>
      <w:r>
        <w:rPr>
          <w:rFonts w:hint="eastAsia" w:ascii="仿宋_GB2312" w:hAnsi="宋体" w:eastAsia="仿宋_GB2312" w:cs="仿宋_GB2312"/>
          <w:color w:val="auto"/>
          <w:sz w:val="32"/>
          <w:szCs w:val="32"/>
          <w:lang w:eastAsia="zh-CN"/>
        </w:rPr>
        <w:t>研发经费投入、机构建设及支持高新技术企业发展专项资金项目</w:t>
      </w:r>
      <w:r>
        <w:rPr>
          <w:rFonts w:hint="eastAsia" w:ascii="仿宋_GB2312" w:hAnsi="仿宋" w:eastAsia="仿宋_GB2312" w:cs="仿宋_GB2312"/>
          <w:color w:val="auto"/>
          <w:sz w:val="32"/>
          <w:szCs w:val="32"/>
        </w:rPr>
        <w:t>安排的科学性、合理性、规范性及</w:t>
      </w:r>
      <w:r>
        <w:rPr>
          <w:rFonts w:hint="eastAsia" w:ascii="仿宋_GB2312" w:hAnsi="宋体" w:eastAsia="仿宋_GB2312" w:cs="仿宋_GB2312"/>
          <w:color w:val="auto"/>
          <w:sz w:val="32"/>
          <w:szCs w:val="32"/>
        </w:rPr>
        <w:t>使用效益，系统、科学地考评项目资金支出效益及综合社会经济效果等。总结经验，分析存在的问题，提出有针</w:t>
      </w:r>
      <w:r>
        <w:rPr>
          <w:rFonts w:hint="eastAsia" w:ascii="仿宋_GB2312" w:hAnsi="宋体" w:eastAsia="仿宋_GB2312" w:cs="仿宋_GB2312"/>
          <w:color w:val="auto"/>
          <w:spacing w:val="-8"/>
          <w:sz w:val="32"/>
          <w:szCs w:val="32"/>
        </w:rPr>
        <w:t>对性、可操作性的建议，进一步加强和规范项目资金管理，不</w:t>
      </w:r>
      <w:r>
        <w:rPr>
          <w:rFonts w:hint="eastAsia" w:ascii="仿宋_GB2312" w:hAnsi="宋体" w:eastAsia="仿宋_GB2312" w:cs="仿宋_GB2312"/>
          <w:color w:val="auto"/>
          <w:sz w:val="32"/>
          <w:szCs w:val="32"/>
        </w:rPr>
        <w:t>断提高财政资金管理水平和使用效益，为以后年度预算安排提供依据。</w:t>
      </w:r>
    </w:p>
    <w:p>
      <w:pPr>
        <w:keepNext w:val="0"/>
        <w:keepLines w:val="0"/>
        <w:pageBreakBefore w:val="0"/>
        <w:kinsoku/>
        <w:wordWrap/>
        <w:overflowPunct/>
        <w:topLinePunct w:val="0"/>
        <w:autoSpaceDE/>
        <w:autoSpaceDN/>
        <w:bidi w:val="0"/>
        <w:adjustRightInd/>
        <w:snapToGrid/>
        <w:spacing w:line="520" w:lineRule="exact"/>
        <w:ind w:firstLine="481" w:firstLineChars="150"/>
        <w:rPr>
          <w:rFonts w:ascii="楷体_GB2312" w:hAnsi="宋体" w:eastAsia="楷体_GB2312"/>
          <w:b/>
          <w:bCs/>
          <w:color w:val="auto"/>
          <w:sz w:val="32"/>
          <w:szCs w:val="32"/>
        </w:rPr>
      </w:pPr>
      <w:r>
        <w:rPr>
          <w:rFonts w:hint="eastAsia" w:ascii="仿宋_GB2312" w:hAnsi="宋体" w:eastAsia="仿宋_GB2312" w:cs="仿宋_GB2312"/>
          <w:b/>
          <w:bCs/>
          <w:color w:val="auto"/>
          <w:sz w:val="32"/>
          <w:szCs w:val="32"/>
        </w:rPr>
        <w:t>（二）</w:t>
      </w:r>
      <w:r>
        <w:rPr>
          <w:rFonts w:hint="eastAsia" w:ascii="楷体_GB2312" w:hAnsi="宋体" w:eastAsia="楷体_GB2312" w:cs="楷体_GB2312"/>
          <w:b/>
          <w:bCs/>
          <w:color w:val="auto"/>
          <w:sz w:val="32"/>
          <w:szCs w:val="32"/>
        </w:rPr>
        <w:t>评价方法</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本次绩效评价采用定量与定性相结合，根据评价指标及评价工作要求</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到评价现场采取勘察、询问、复核等方式收集、整理数据和资料</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包括评价对象的基本情况、财政资金使用情况、评价指标体系需要的相关资料等。根据基础资料</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核实数据的全面性、真实性以及指标口径的一致性</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并对所掌握的有关信息资料采用相关方法进行分类、整理和分析。</w:t>
      </w:r>
    </w:p>
    <w:p>
      <w:pPr>
        <w:keepNext w:val="0"/>
        <w:keepLines w:val="0"/>
        <w:pageBreakBefore w:val="0"/>
        <w:kinsoku/>
        <w:wordWrap/>
        <w:overflowPunct/>
        <w:topLinePunct w:val="0"/>
        <w:autoSpaceDE/>
        <w:autoSpaceDN/>
        <w:bidi w:val="0"/>
        <w:adjustRightInd/>
        <w:snapToGrid/>
        <w:spacing w:line="520" w:lineRule="exact"/>
        <w:ind w:left="851"/>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（三）评价步骤</w:t>
      </w:r>
    </w:p>
    <w:p>
      <w:pPr>
        <w:keepNext w:val="0"/>
        <w:keepLines w:val="0"/>
        <w:pageBreakBefore w:val="0"/>
        <w:kinsoku/>
        <w:wordWrap/>
        <w:overflowPunct/>
        <w:topLinePunct w:val="0"/>
        <w:autoSpaceDE/>
        <w:autoSpaceDN/>
        <w:bidi w:val="0"/>
        <w:adjustRightInd/>
        <w:snapToGrid/>
        <w:spacing w:line="520" w:lineRule="exact"/>
        <w:ind w:firstLine="640" w:firstLineChars="200"/>
        <w:rPr>
          <w:color w:val="auto"/>
        </w:rPr>
      </w:pPr>
      <w:r>
        <w:rPr>
          <w:rFonts w:hint="eastAsia" w:ascii="仿宋_GB2312" w:hAnsi="宋体" w:eastAsia="仿宋_GB2312" w:cs="仿宋_GB2312"/>
          <w:color w:val="auto"/>
          <w:sz w:val="32"/>
          <w:szCs w:val="32"/>
        </w:rPr>
        <w:t>本次绩效评价工作包括绩效评价工作准备、绩效评价工作实施和绩效评价工作完成三个阶段，分六个步骤组织实施</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eastAsia="zh-CN"/>
        </w:rPr>
        <w:t>即</w:t>
      </w:r>
      <w:r>
        <w:rPr>
          <w:rFonts w:hint="eastAsia" w:ascii="仿宋_GB2312" w:hAnsi="宋体" w:eastAsia="仿宋_GB2312" w:cs="仿宋_GB2312"/>
          <w:color w:val="auto"/>
          <w:sz w:val="32"/>
          <w:szCs w:val="32"/>
        </w:rPr>
        <w:t>成立评价工作小组</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制订绩效评价工作方案</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收集绩效评价相关资料</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审查核实相关评价资料</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撰写绩效评价报告</w:t>
      </w:r>
      <w:r>
        <w:rPr>
          <w:rFonts w:hint="eastAsia" w:ascii="仿宋_GB2312" w:hAnsi="宋体" w:eastAsia="仿宋_GB2312" w:cs="仿宋_GB2312"/>
          <w:color w:val="auto"/>
          <w:sz w:val="32"/>
          <w:szCs w:val="32"/>
          <w:lang w:eastAsia="zh-CN"/>
        </w:rPr>
        <w:t>及</w:t>
      </w:r>
      <w:r>
        <w:rPr>
          <w:rFonts w:hint="eastAsia" w:ascii="仿宋_GB2312" w:hAnsi="宋体" w:eastAsia="仿宋_GB2312" w:cs="仿宋_GB2312"/>
          <w:color w:val="auto"/>
          <w:sz w:val="32"/>
          <w:szCs w:val="32"/>
        </w:rPr>
        <w:t>建立绩效评价档案</w:t>
      </w:r>
      <w:r>
        <w:rPr>
          <w:rFonts w:hint="eastAsia" w:ascii="仿宋_GB2312" w:hAnsi="宋体" w:eastAsia="仿宋_GB2312" w:cs="仿宋_GB2312"/>
          <w:color w:val="auto"/>
          <w:sz w:val="32"/>
          <w:szCs w:val="32"/>
          <w:lang w:eastAsia="zh-CN"/>
        </w:rPr>
        <w:t>等</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20" w:lineRule="exact"/>
        <w:ind w:firstLine="720" w:firstLineChars="200"/>
        <w:rPr>
          <w:rFonts w:ascii="黑体" w:hAnsi="宋体" w:eastAsia="黑体"/>
          <w:color w:val="auto"/>
          <w:sz w:val="36"/>
          <w:szCs w:val="36"/>
        </w:rPr>
      </w:pPr>
      <w:r>
        <w:rPr>
          <w:rFonts w:hint="eastAsia" w:ascii="黑体" w:hAnsi="宋体" w:eastAsia="黑体" w:cs="黑体"/>
          <w:color w:val="auto"/>
          <w:sz w:val="36"/>
          <w:szCs w:val="36"/>
        </w:rPr>
        <w:t>三、项目</w:t>
      </w:r>
      <w:r>
        <w:rPr>
          <w:rFonts w:hint="eastAsia" w:ascii="黑体" w:hAnsi="宋体" w:eastAsia="黑体" w:cs="黑体"/>
          <w:color w:val="auto"/>
          <w:sz w:val="36"/>
          <w:szCs w:val="36"/>
          <w:lang w:eastAsia="zh-CN"/>
        </w:rPr>
        <w:t>组织</w:t>
      </w:r>
      <w:r>
        <w:rPr>
          <w:rFonts w:hint="eastAsia" w:ascii="黑体" w:hAnsi="宋体" w:eastAsia="黑体" w:cs="黑体"/>
          <w:color w:val="auto"/>
          <w:sz w:val="36"/>
          <w:szCs w:val="36"/>
        </w:rPr>
        <w:t>实施基本情况</w:t>
      </w:r>
    </w:p>
    <w:p>
      <w:pPr>
        <w:keepNext w:val="0"/>
        <w:keepLines w:val="0"/>
        <w:pageBreakBefore w:val="0"/>
        <w:kinsoku/>
        <w:wordWrap/>
        <w:overflowPunct/>
        <w:topLinePunct w:val="0"/>
        <w:autoSpaceDE/>
        <w:autoSpaceDN/>
        <w:bidi w:val="0"/>
        <w:adjustRightInd/>
        <w:snapToGrid/>
        <w:spacing w:line="520" w:lineRule="exact"/>
        <w:ind w:firstLine="481" w:firstLineChars="150"/>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（一）项目管理制度的建设情况</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项目实施单位</w:t>
      </w:r>
      <w:r>
        <w:rPr>
          <w:rFonts w:hint="eastAsia" w:ascii="仿宋_GB2312" w:hAnsi="宋体" w:eastAsia="仿宋_GB2312" w:cs="仿宋_GB2312"/>
          <w:color w:val="auto"/>
          <w:sz w:val="32"/>
          <w:szCs w:val="32"/>
          <w:lang w:eastAsia="zh-CN"/>
        </w:rPr>
        <w:t>未能</w:t>
      </w:r>
      <w:r>
        <w:rPr>
          <w:rFonts w:hint="eastAsia" w:ascii="仿宋_GB2312" w:hAnsi="宋体" w:eastAsia="仿宋_GB2312" w:cs="仿宋_GB2312"/>
          <w:color w:val="auto"/>
          <w:sz w:val="32"/>
          <w:szCs w:val="32"/>
        </w:rPr>
        <w:t>按照</w:t>
      </w:r>
      <w:r>
        <w:rPr>
          <w:rFonts w:hint="eastAsia" w:ascii="仿宋_GB2312" w:hAnsi="宋体" w:eastAsia="仿宋_GB2312" w:cs="仿宋_GB2312"/>
          <w:color w:val="auto"/>
          <w:kern w:val="0"/>
          <w:sz w:val="32"/>
          <w:szCs w:val="32"/>
        </w:rPr>
        <w:t>《关于印发</w:t>
      </w:r>
      <w:r>
        <w:rPr>
          <w:rFonts w:hint="eastAsia" w:ascii="仿宋_GB2312" w:hAnsi="宋体" w:eastAsia="仿宋_GB2312" w:cs="仿宋_GB2312"/>
          <w:color w:val="auto"/>
          <w:kern w:val="0"/>
          <w:sz w:val="32"/>
          <w:szCs w:val="32"/>
          <w:lang w:eastAsia="zh-CN"/>
        </w:rPr>
        <w:t>福建省企业研究经费投入分段补助实施办法（试行）的通知</w:t>
      </w: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eastAsia="zh-CN"/>
        </w:rPr>
        <w:t>闽政〔</w:t>
      </w:r>
      <w:r>
        <w:rPr>
          <w:rFonts w:hint="eastAsia" w:ascii="仿宋_GB2312" w:hAnsi="宋体" w:eastAsia="仿宋_GB2312" w:cs="仿宋_GB2312"/>
          <w:color w:val="auto"/>
          <w:kern w:val="0"/>
          <w:sz w:val="32"/>
          <w:szCs w:val="32"/>
          <w:lang w:val="en-US" w:eastAsia="zh-CN"/>
        </w:rPr>
        <w:t>2017</w:t>
      </w:r>
      <w:r>
        <w:rPr>
          <w:rFonts w:hint="eastAsia" w:ascii="仿宋_GB2312" w:hAnsi="宋体" w:eastAsia="仿宋_GB2312" w:cs="仿宋_GB2312"/>
          <w:color w:val="auto"/>
          <w:kern w:val="0"/>
          <w:sz w:val="32"/>
          <w:szCs w:val="32"/>
          <w:lang w:eastAsia="zh-CN"/>
        </w:rPr>
        <w:t>〕</w:t>
      </w:r>
      <w:r>
        <w:rPr>
          <w:rFonts w:hint="eastAsia" w:ascii="仿宋_GB2312" w:hAnsi="宋体" w:eastAsia="仿宋_GB2312" w:cs="仿宋_GB2312"/>
          <w:color w:val="auto"/>
          <w:kern w:val="0"/>
          <w:sz w:val="32"/>
          <w:szCs w:val="32"/>
          <w:lang w:val="en-US" w:eastAsia="zh-CN"/>
        </w:rPr>
        <w:t>8</w:t>
      </w:r>
      <w:r>
        <w:rPr>
          <w:rFonts w:hint="eastAsia" w:ascii="仿宋_GB2312" w:hAnsi="宋体" w:eastAsia="仿宋_GB2312" w:cs="仿宋_GB2312"/>
          <w:color w:val="auto"/>
          <w:kern w:val="0"/>
          <w:sz w:val="32"/>
          <w:szCs w:val="32"/>
        </w:rPr>
        <w:t>号）及《关于</w:t>
      </w:r>
      <w:r>
        <w:rPr>
          <w:rFonts w:hint="eastAsia" w:ascii="仿宋_GB2312" w:hAnsi="宋体" w:eastAsia="仿宋_GB2312" w:cs="仿宋_GB2312"/>
          <w:color w:val="auto"/>
          <w:kern w:val="0"/>
          <w:sz w:val="32"/>
          <w:szCs w:val="32"/>
          <w:lang w:eastAsia="zh-CN"/>
        </w:rPr>
        <w:t>印发省高新技术企业扶持办法的通知</w:t>
      </w: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eastAsia="zh-CN"/>
        </w:rPr>
        <w:t>闽政办〔</w:t>
      </w:r>
      <w:r>
        <w:rPr>
          <w:rFonts w:hint="eastAsia" w:ascii="仿宋_GB2312" w:hAnsi="宋体" w:eastAsia="仿宋_GB2312" w:cs="仿宋_GB2312"/>
          <w:color w:val="auto"/>
          <w:kern w:val="0"/>
          <w:sz w:val="32"/>
          <w:szCs w:val="32"/>
          <w:lang w:val="en-US" w:eastAsia="zh-CN"/>
        </w:rPr>
        <w:t>2017</w:t>
      </w:r>
      <w:r>
        <w:rPr>
          <w:rFonts w:hint="eastAsia" w:ascii="仿宋_GB2312" w:hAnsi="宋体" w:eastAsia="仿宋_GB2312" w:cs="仿宋_GB2312"/>
          <w:color w:val="auto"/>
          <w:kern w:val="0"/>
          <w:sz w:val="32"/>
          <w:szCs w:val="32"/>
          <w:lang w:eastAsia="zh-CN"/>
        </w:rPr>
        <w:t>〕</w:t>
      </w:r>
      <w:r>
        <w:rPr>
          <w:rFonts w:ascii="仿宋_GB2312" w:hAnsi="宋体" w:eastAsia="仿宋_GB2312" w:cs="仿宋_GB2312"/>
          <w:color w:val="auto"/>
          <w:kern w:val="0"/>
          <w:sz w:val="32"/>
          <w:szCs w:val="32"/>
        </w:rPr>
        <w:t>1</w:t>
      </w:r>
      <w:r>
        <w:rPr>
          <w:rFonts w:hint="eastAsia" w:ascii="仿宋_GB2312" w:hAnsi="宋体" w:eastAsia="仿宋_GB2312" w:cs="仿宋_GB2312"/>
          <w:color w:val="auto"/>
          <w:kern w:val="0"/>
          <w:sz w:val="32"/>
          <w:szCs w:val="32"/>
          <w:lang w:val="en-US" w:eastAsia="zh-CN"/>
        </w:rPr>
        <w:t>41</w:t>
      </w:r>
      <w:r>
        <w:rPr>
          <w:rFonts w:hint="eastAsia" w:ascii="仿宋_GB2312" w:hAnsi="宋体" w:eastAsia="仿宋_GB2312" w:cs="仿宋_GB2312"/>
          <w:color w:val="auto"/>
          <w:kern w:val="0"/>
          <w:sz w:val="32"/>
          <w:szCs w:val="32"/>
        </w:rPr>
        <w:t>号）</w:t>
      </w:r>
      <w:r>
        <w:rPr>
          <w:rFonts w:hint="eastAsia" w:ascii="仿宋_GB2312" w:hAnsi="宋体" w:eastAsia="仿宋_GB2312" w:cs="仿宋_GB2312"/>
          <w:color w:val="auto"/>
          <w:kern w:val="0"/>
          <w:sz w:val="32"/>
          <w:szCs w:val="32"/>
          <w:lang w:eastAsia="zh-CN"/>
        </w:rPr>
        <w:t>、《关于鼓励社会资本建设和发展新型研发机构若干措施的通知》（闽政办</w:t>
      </w:r>
      <w:r>
        <w:rPr>
          <w:rFonts w:hint="eastAsia" w:ascii="仿宋_GB2312" w:hAnsi="宋体" w:eastAsia="仿宋_GB2312" w:cs="仿宋_GB2312"/>
          <w:color w:val="auto"/>
          <w:kern w:val="0"/>
          <w:sz w:val="32"/>
          <w:szCs w:val="32"/>
          <w:lang w:val="en-US" w:eastAsia="zh-CN"/>
        </w:rPr>
        <w:t>〔2016〕145号</w:t>
      </w:r>
      <w:r>
        <w:rPr>
          <w:rFonts w:hint="eastAsia" w:ascii="仿宋_GB2312" w:hAnsi="宋体" w:eastAsia="仿宋_GB2312" w:cs="仿宋_GB2312"/>
          <w:color w:val="auto"/>
          <w:kern w:val="0"/>
          <w:sz w:val="32"/>
          <w:szCs w:val="32"/>
          <w:lang w:eastAsia="zh-CN"/>
        </w:rPr>
        <w:t>）</w:t>
      </w:r>
      <w:r>
        <w:rPr>
          <w:rFonts w:hint="eastAsia" w:ascii="仿宋_GB2312" w:hAnsi="宋体" w:eastAsia="仿宋_GB2312" w:cs="仿宋_GB2312"/>
          <w:color w:val="auto"/>
          <w:sz w:val="32"/>
          <w:szCs w:val="32"/>
          <w:lang w:eastAsia="zh-CN"/>
        </w:rPr>
        <w:t>等文件精神制定相关项目管理制度及资金管理制度。</w:t>
      </w:r>
    </w:p>
    <w:p>
      <w:pPr>
        <w:widowControl/>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60" w:lineRule="exact"/>
        <w:ind w:firstLine="481" w:firstLineChars="150"/>
        <w:rPr>
          <w:rFonts w:hint="eastAsia" w:ascii="楷体_GB2312" w:hAnsi="宋体" w:eastAsia="楷体_GB2312" w:cs="宋体"/>
          <w:b/>
          <w:bCs w:val="0"/>
          <w:color w:val="auto"/>
          <w:kern w:val="0"/>
          <w:sz w:val="32"/>
          <w:szCs w:val="32"/>
          <w:highlight w:val="none"/>
        </w:rPr>
      </w:pPr>
      <w:r>
        <w:rPr>
          <w:rFonts w:hint="eastAsia" w:ascii="楷体_GB2312" w:hAnsi="宋体" w:eastAsia="楷体_GB2312" w:cs="宋体"/>
          <w:b/>
          <w:bCs w:val="0"/>
          <w:color w:val="auto"/>
          <w:kern w:val="0"/>
          <w:sz w:val="32"/>
          <w:szCs w:val="32"/>
          <w:highlight w:val="none"/>
        </w:rPr>
        <w:t>（二）项目组织实施情况</w:t>
      </w:r>
    </w:p>
    <w:p>
      <w:pPr>
        <w:keepNext w:val="0"/>
        <w:keepLines w:val="0"/>
        <w:pageBreakBefore w:val="0"/>
        <w:kinsoku/>
        <w:wordWrap/>
        <w:overflowPunct/>
        <w:topLinePunct w:val="0"/>
        <w:autoSpaceDE/>
        <w:autoSpaceDN/>
        <w:bidi w:val="0"/>
        <w:adjustRightInd/>
        <w:snapToGrid/>
        <w:spacing w:line="520" w:lineRule="exact"/>
        <w:ind w:firstLine="642" w:firstLineChars="200"/>
        <w:rPr>
          <w:rFonts w:hint="eastAsia" w:ascii="仿宋_GB2312" w:hAnsi="宋体" w:eastAsia="仿宋_GB2312" w:cs="仿宋_GB2312"/>
          <w:b/>
          <w:bCs/>
          <w:color w:val="auto"/>
          <w:sz w:val="32"/>
          <w:szCs w:val="32"/>
          <w:highlight w:val="none"/>
          <w:lang w:eastAsia="zh-CN"/>
        </w:rPr>
      </w:pPr>
      <w:r>
        <w:rPr>
          <w:rFonts w:hint="eastAsia" w:ascii="仿宋_GB2312" w:hAnsi="宋体" w:eastAsia="仿宋_GB2312" w:cs="仿宋_GB2312"/>
          <w:b/>
          <w:bCs/>
          <w:color w:val="auto"/>
          <w:kern w:val="2"/>
          <w:sz w:val="32"/>
          <w:szCs w:val="32"/>
          <w:highlight w:val="none"/>
          <w:lang w:val="en-US" w:eastAsia="zh-CN" w:bidi="ar-SA"/>
        </w:rPr>
        <w:t>1.</w:t>
      </w:r>
      <w:r>
        <w:rPr>
          <w:rFonts w:hint="eastAsia" w:ascii="仿宋_GB2312" w:hAnsi="宋体" w:eastAsia="仿宋_GB2312" w:cs="仿宋_GB2312"/>
          <w:b/>
          <w:bCs/>
          <w:color w:val="auto"/>
          <w:sz w:val="32"/>
          <w:szCs w:val="32"/>
          <w:highlight w:val="none"/>
          <w:lang w:eastAsia="zh-CN"/>
        </w:rPr>
        <w:t>研发经费投入实施情况：</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kern w:val="2"/>
          <w:sz w:val="32"/>
          <w:szCs w:val="32"/>
          <w:highlight w:val="none"/>
          <w:lang w:val="en-US" w:eastAsia="zh-CN" w:bidi="ar-SA"/>
        </w:rPr>
      </w:pPr>
      <w:r>
        <w:rPr>
          <w:rFonts w:hint="eastAsia" w:ascii="仿宋_GB2312" w:hAnsi="宋体" w:eastAsia="仿宋_GB2312" w:cs="仿宋_GB2312"/>
          <w:color w:val="auto"/>
          <w:kern w:val="2"/>
          <w:sz w:val="32"/>
          <w:szCs w:val="32"/>
          <w:highlight w:val="none"/>
          <w:lang w:val="en-US" w:eastAsia="zh-CN" w:bidi="ar-SA"/>
        </w:rPr>
        <w:t>三明市科技局根据2019年8月企业申报研发经费分段补助的情况，通过华健招标代理机构进行第三方审计机构的公开招投标，确定为厦门大信会计事务所为中标单位，随后中标单位于2019年9月至10月到各申报企业进行现场核实，2019年10月底出具正式核实报告书报三明市科技局。三明市科技局根据核实报告书测算每家企业的补助金额，并与市财政局于2019年11月29日联合下发了《三明市科学技术局 三明市财政局关于企业研发经费投入2018年度补助和2019年度预补助审核评估结果》，并在三明市科技局门户网站公示七天无异义后报福建省科技厅。福建省科技厅于2019年12月份联合福建省财政厅下发了《关于下达2018年企业研发经费分段补助清算资金的通知》（闽财教指〔2019〕125号）。</w:t>
      </w:r>
    </w:p>
    <w:p>
      <w:pPr>
        <w:pStyle w:val="2"/>
        <w:numPr>
          <w:ilvl w:val="0"/>
          <w:numId w:val="0"/>
        </w:numPr>
        <w:ind w:firstLine="640" w:firstLineChars="200"/>
        <w:rPr>
          <w:rFonts w:hint="eastAsia" w:ascii="仿宋_GB2312" w:hAnsi="宋体" w:eastAsia="仿宋_GB2312" w:cs="仿宋_GB2312"/>
          <w:color w:val="auto"/>
          <w:kern w:val="2"/>
          <w:sz w:val="32"/>
          <w:szCs w:val="32"/>
          <w:highlight w:val="none"/>
          <w:lang w:val="en-US" w:eastAsia="zh-CN" w:bidi="ar-SA"/>
        </w:rPr>
      </w:pPr>
      <w:r>
        <w:rPr>
          <w:rFonts w:hint="eastAsia" w:ascii="仿宋_GB2312" w:hAnsi="宋体" w:eastAsia="仿宋_GB2312" w:cs="仿宋_GB2312"/>
          <w:color w:val="auto"/>
          <w:kern w:val="2"/>
          <w:sz w:val="32"/>
          <w:szCs w:val="32"/>
          <w:highlight w:val="none"/>
          <w:lang w:val="en-US" w:eastAsia="zh-CN" w:bidi="ar-SA"/>
        </w:rPr>
        <w:t>受2020年新冠疫情影响，随后省里回收下达的补助资金经济统筹使用。待疫情缓解后，福建省财政厅和福建省科技厅于2020年3月16日下发了《关于再次下达2018年企业分段研发经费补助清算资金的通知》（闽财教指〔2020〕5号）。接到通知后，三明市科技局于2020年于3月24日向市财政局发函《关于下达三明市市属企业及12县（市、区）企业研发经费分段补助的函》（明科函〔2020〕5号。市财政于2020年5月11日联合三明市科技局下发了《关于下达 2018年度企业研发经费补助清算资金的通知》（明财教指〔2020〕47号）。</w:t>
      </w:r>
    </w:p>
    <w:p>
      <w:pPr>
        <w:pStyle w:val="2"/>
        <w:numPr>
          <w:ilvl w:val="0"/>
          <w:numId w:val="0"/>
        </w:numPr>
        <w:ind w:firstLine="642" w:firstLineChars="200"/>
        <w:rPr>
          <w:rFonts w:hint="eastAsia" w:ascii="仿宋_GB2312" w:hAnsi="宋体" w:eastAsia="仿宋_GB2312" w:cs="仿宋_GB2312"/>
          <w:b/>
          <w:bCs/>
          <w:color w:val="auto"/>
          <w:kern w:val="2"/>
          <w:sz w:val="32"/>
          <w:szCs w:val="32"/>
          <w:highlight w:val="none"/>
          <w:lang w:val="en-US" w:eastAsia="zh-CN" w:bidi="ar-SA"/>
        </w:rPr>
      </w:pPr>
      <w:r>
        <w:rPr>
          <w:rFonts w:hint="eastAsia" w:ascii="仿宋_GB2312" w:hAnsi="宋体" w:eastAsia="仿宋_GB2312" w:cs="仿宋_GB2312"/>
          <w:b/>
          <w:bCs/>
          <w:color w:val="auto"/>
          <w:kern w:val="2"/>
          <w:sz w:val="32"/>
          <w:szCs w:val="32"/>
          <w:highlight w:val="none"/>
          <w:lang w:val="en-US" w:eastAsia="zh-CN" w:bidi="ar-SA"/>
        </w:rPr>
        <w:t>2.机构建设实施情况</w:t>
      </w:r>
    </w:p>
    <w:p>
      <w:pPr>
        <w:pStyle w:val="2"/>
        <w:numPr>
          <w:ilvl w:val="0"/>
          <w:numId w:val="0"/>
        </w:numPr>
        <w:ind w:firstLine="640" w:firstLineChars="200"/>
        <w:rPr>
          <w:rFonts w:hint="eastAsia" w:ascii="仿宋_GB2312" w:hAnsi="宋体"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2019年及</w:t>
      </w:r>
      <w:r>
        <w:rPr>
          <w:rFonts w:hint="eastAsia" w:ascii="仿宋_GB2312" w:hAnsi="仿宋_GB2312" w:eastAsia="仿宋_GB2312" w:cs="仿宋_GB2312"/>
          <w:color w:val="auto"/>
          <w:sz w:val="32"/>
          <w:szCs w:val="32"/>
          <w:highlight w:val="none"/>
          <w:lang w:eastAsia="zh-CN"/>
        </w:rPr>
        <w:t>2020年两个年度，三明市省级新型研发机构中，没有单位申报此项补助，故当年三明市级财政无该项支出</w:t>
      </w:r>
      <w:r>
        <w:rPr>
          <w:rFonts w:hint="eastAsia" w:ascii="仿宋_GB2312" w:hAnsi="宋体" w:eastAsia="仿宋_GB2312" w:cs="仿宋_GB2312"/>
          <w:color w:val="auto"/>
          <w:kern w:val="2"/>
          <w:sz w:val="32"/>
          <w:szCs w:val="32"/>
          <w:highlight w:val="none"/>
          <w:lang w:val="en-US" w:eastAsia="zh-CN" w:bidi="ar-SA"/>
        </w:rPr>
        <w:t>。</w:t>
      </w:r>
    </w:p>
    <w:p>
      <w:pPr>
        <w:pStyle w:val="2"/>
        <w:numPr>
          <w:ilvl w:val="0"/>
          <w:numId w:val="0"/>
        </w:numPr>
        <w:ind w:firstLine="642" w:firstLineChars="200"/>
        <w:rPr>
          <w:rFonts w:hint="eastAsia" w:ascii="仿宋_GB2312" w:hAnsi="宋体" w:eastAsia="仿宋_GB2312" w:cs="仿宋_GB2312"/>
          <w:b/>
          <w:bCs/>
          <w:color w:val="auto"/>
          <w:kern w:val="2"/>
          <w:sz w:val="32"/>
          <w:szCs w:val="32"/>
          <w:highlight w:val="none"/>
          <w:lang w:val="en-US" w:eastAsia="zh-CN" w:bidi="ar-SA"/>
        </w:rPr>
      </w:pPr>
      <w:r>
        <w:rPr>
          <w:rFonts w:hint="eastAsia" w:ascii="仿宋_GB2312" w:hAnsi="宋体" w:eastAsia="仿宋_GB2312" w:cs="仿宋_GB2312"/>
          <w:b/>
          <w:bCs/>
          <w:color w:val="auto"/>
          <w:kern w:val="2"/>
          <w:sz w:val="32"/>
          <w:szCs w:val="32"/>
          <w:highlight w:val="none"/>
          <w:lang w:val="en-US" w:eastAsia="zh-CN" w:bidi="ar-SA"/>
        </w:rPr>
        <w:t>3.高新技术企业申报及备案实施情况</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default" w:ascii="仿宋_GB2312" w:hAnsi="宋体" w:eastAsia="仿宋_GB2312" w:cs="仿宋_GB2312"/>
          <w:color w:val="auto"/>
          <w:kern w:val="2"/>
          <w:sz w:val="32"/>
          <w:szCs w:val="32"/>
          <w:highlight w:val="none"/>
          <w:lang w:val="en-US" w:eastAsia="zh-CN" w:bidi="ar-SA"/>
        </w:rPr>
      </w:pPr>
      <w:r>
        <w:rPr>
          <w:rFonts w:hint="eastAsia" w:ascii="仿宋_GB2312" w:hAnsi="宋体" w:eastAsia="仿宋_GB2312" w:cs="仿宋_GB2312"/>
          <w:color w:val="auto"/>
          <w:kern w:val="2"/>
          <w:sz w:val="32"/>
          <w:szCs w:val="32"/>
          <w:highlight w:val="none"/>
          <w:lang w:val="en-US" w:eastAsia="zh-CN" w:bidi="ar-SA"/>
        </w:rPr>
        <w:t>三明市科技局按照相关文件要求，组织企业申报，于2019年7月23日和8月23日分两批组织专家开展评审，并向省上推荐。省厅组织抽查后，于2019年11月11日、2019年12月16日先后下发相关文件并公布了入库备案企业名单。</w:t>
      </w:r>
      <w:r>
        <w:rPr>
          <w:rFonts w:hint="default" w:ascii="仿宋_GB2312" w:hAnsi="宋体" w:eastAsia="仿宋_GB2312" w:cs="仿宋_GB2312"/>
          <w:color w:val="auto"/>
          <w:kern w:val="2"/>
          <w:sz w:val="32"/>
          <w:szCs w:val="32"/>
          <w:highlight w:val="none"/>
          <w:lang w:val="en-US" w:eastAsia="zh-CN" w:bidi="ar-SA"/>
        </w:rPr>
        <w:t>省厅</w:t>
      </w:r>
      <w:r>
        <w:rPr>
          <w:rFonts w:hint="eastAsia" w:ascii="仿宋_GB2312" w:hAnsi="宋体" w:eastAsia="仿宋_GB2312" w:cs="仿宋_GB2312"/>
          <w:color w:val="auto"/>
          <w:kern w:val="2"/>
          <w:sz w:val="32"/>
          <w:szCs w:val="32"/>
          <w:highlight w:val="none"/>
          <w:lang w:val="en-US" w:eastAsia="zh-CN" w:bidi="ar-SA"/>
        </w:rPr>
        <w:t>再</w:t>
      </w:r>
      <w:r>
        <w:rPr>
          <w:rFonts w:hint="default" w:ascii="仿宋_GB2312" w:hAnsi="宋体" w:eastAsia="仿宋_GB2312" w:cs="仿宋_GB2312"/>
          <w:color w:val="auto"/>
          <w:kern w:val="2"/>
          <w:sz w:val="32"/>
          <w:szCs w:val="32"/>
          <w:highlight w:val="none"/>
          <w:lang w:val="en-US" w:eastAsia="zh-CN" w:bidi="ar-SA"/>
        </w:rPr>
        <w:t>根据公布的省高入库备案企业名单和国高名单，按奖补办法确定每家企业相应的奖补金额，并分批下达奖补资金。</w:t>
      </w:r>
      <w:r>
        <w:rPr>
          <w:rFonts w:hint="eastAsia" w:ascii="仿宋_GB2312" w:hAnsi="宋体" w:eastAsia="仿宋_GB2312" w:cs="仿宋_GB2312"/>
          <w:color w:val="auto"/>
          <w:kern w:val="2"/>
          <w:sz w:val="32"/>
          <w:szCs w:val="32"/>
          <w:highlight w:val="none"/>
          <w:lang w:val="en-US" w:eastAsia="zh-CN" w:bidi="ar-SA"/>
        </w:rPr>
        <w:t>三明市科技</w:t>
      </w:r>
      <w:r>
        <w:rPr>
          <w:rFonts w:hint="default" w:ascii="仿宋_GB2312" w:hAnsi="宋体" w:eastAsia="仿宋_GB2312" w:cs="仿宋_GB2312"/>
          <w:color w:val="auto"/>
          <w:kern w:val="2"/>
          <w:sz w:val="32"/>
          <w:szCs w:val="32"/>
          <w:highlight w:val="none"/>
          <w:lang w:val="en-US" w:eastAsia="zh-CN" w:bidi="ar-SA"/>
        </w:rPr>
        <w:t>局对奖补资金进行县（市、区）分配后，从市财政局直接下达到县区财政局。</w:t>
      </w:r>
    </w:p>
    <w:p>
      <w:pPr>
        <w:keepNext w:val="0"/>
        <w:keepLines w:val="0"/>
        <w:pageBreakBefore w:val="0"/>
        <w:kinsoku/>
        <w:wordWrap/>
        <w:overflowPunct/>
        <w:topLinePunct w:val="0"/>
        <w:autoSpaceDE/>
        <w:autoSpaceDN/>
        <w:bidi w:val="0"/>
        <w:adjustRightInd/>
        <w:snapToGrid/>
        <w:spacing w:line="520" w:lineRule="exact"/>
        <w:ind w:firstLine="720" w:firstLineChars="200"/>
        <w:rPr>
          <w:rFonts w:hint="eastAsia" w:ascii="黑体" w:hAnsi="宋体" w:eastAsia="黑体"/>
          <w:color w:val="auto"/>
          <w:sz w:val="36"/>
          <w:szCs w:val="36"/>
          <w:lang w:eastAsia="zh-CN"/>
        </w:rPr>
      </w:pPr>
      <w:r>
        <w:rPr>
          <w:rFonts w:hint="eastAsia" w:ascii="黑体" w:hAnsi="宋体" w:eastAsia="黑体" w:cs="黑体"/>
          <w:color w:val="auto"/>
          <w:sz w:val="36"/>
          <w:szCs w:val="36"/>
        </w:rPr>
        <w:t>四、项目绩效分析</w:t>
      </w:r>
    </w:p>
    <w:p>
      <w:pPr>
        <w:keepNext w:val="0"/>
        <w:keepLines w:val="0"/>
        <w:pageBreakBefore w:val="0"/>
        <w:kinsoku/>
        <w:wordWrap/>
        <w:overflowPunct/>
        <w:topLinePunct w:val="0"/>
        <w:autoSpaceDE/>
        <w:autoSpaceDN/>
        <w:bidi w:val="0"/>
        <w:adjustRightInd/>
        <w:snapToGrid/>
        <w:spacing w:line="520" w:lineRule="exact"/>
        <w:ind w:firstLine="481" w:firstLineChars="150"/>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（一）绩效目标完成情况分析</w:t>
      </w:r>
    </w:p>
    <w:p>
      <w:pPr>
        <w:pStyle w:val="2"/>
        <w:rPr>
          <w:rFonts w:hint="eastAsia" w:ascii="仿宋_GB2312" w:hAnsi="宋体" w:eastAsia="仿宋_GB2312" w:cs="仿宋_GB2312"/>
          <w:color w:val="auto"/>
          <w:sz w:val="32"/>
          <w:szCs w:val="32"/>
          <w:lang w:eastAsia="zh-CN"/>
        </w:rPr>
      </w:pPr>
      <w:r>
        <w:rPr>
          <w:rFonts w:hint="eastAsia" w:ascii="仿宋_GB2312" w:hAnsi="宋体" w:eastAsia="仿宋_GB2312" w:cs="仿宋_GB2312"/>
          <w:b/>
          <w:bCs/>
          <w:color w:val="auto"/>
          <w:sz w:val="32"/>
          <w:szCs w:val="32"/>
          <w:lang w:val="en-US" w:eastAsia="zh-CN"/>
        </w:rPr>
        <w:t>1.</w:t>
      </w:r>
      <w:r>
        <w:rPr>
          <w:rFonts w:hint="eastAsia" w:ascii="仿宋_GB2312" w:hAnsi="宋体" w:eastAsia="仿宋_GB2312" w:cs="仿宋_GB2312"/>
          <w:b/>
          <w:bCs/>
          <w:color w:val="auto"/>
          <w:sz w:val="32"/>
          <w:szCs w:val="32"/>
          <w:lang w:eastAsia="zh-CN"/>
        </w:rPr>
        <w:t>研发经费投入完成情况分析</w:t>
      </w:r>
      <w:r>
        <w:rPr>
          <w:rFonts w:hint="eastAsia" w:ascii="仿宋_GB2312" w:hAnsi="宋体" w:eastAsia="仿宋_GB2312" w:cs="仿宋_GB2312"/>
          <w:color w:val="auto"/>
          <w:sz w:val="32"/>
          <w:szCs w:val="32"/>
          <w:lang w:eastAsia="zh-CN"/>
        </w:rPr>
        <w:t>：</w:t>
      </w:r>
    </w:p>
    <w:p>
      <w:pPr>
        <w:pStyle w:val="2"/>
        <w:rPr>
          <w:rFonts w:hint="eastAsia" w:ascii="仿宋" w:hAnsi="仿宋" w:eastAsia="仿宋" w:cs="仿宋"/>
          <w:color w:val="auto"/>
          <w:kern w:val="0"/>
          <w:sz w:val="32"/>
          <w:szCs w:val="32"/>
          <w:lang w:val="en-US" w:eastAsia="zh-CN"/>
        </w:rPr>
      </w:pP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w:t>
      </w:r>
      <w:r>
        <w:rPr>
          <w:rFonts w:hint="eastAsia" w:ascii="仿宋_GB2312" w:hAnsi="宋体" w:eastAsia="仿宋_GB2312" w:cs="仿宋_GB2312"/>
          <w:color w:val="auto"/>
          <w:sz w:val="32"/>
          <w:szCs w:val="32"/>
          <w:lang w:eastAsia="zh-CN"/>
        </w:rPr>
        <w:t>）</w:t>
      </w:r>
      <w:r>
        <w:rPr>
          <w:rFonts w:hint="eastAsia" w:ascii="仿宋" w:hAnsi="仿宋" w:eastAsia="仿宋" w:cs="仿宋"/>
          <w:color w:val="auto"/>
          <w:sz w:val="32"/>
          <w:szCs w:val="32"/>
        </w:rPr>
        <w:t>201</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三明市</w:t>
      </w:r>
      <w:r>
        <w:rPr>
          <w:rFonts w:hint="eastAsia" w:ascii="仿宋" w:hAnsi="仿宋" w:eastAsia="仿宋" w:cs="仿宋"/>
          <w:color w:val="auto"/>
          <w:sz w:val="32"/>
          <w:szCs w:val="32"/>
        </w:rPr>
        <w:t>全社会R&amp;D经费投入</w:t>
      </w:r>
      <w:r>
        <w:rPr>
          <w:rFonts w:hint="eastAsia" w:ascii="仿宋" w:hAnsi="仿宋" w:eastAsia="仿宋" w:cs="仿宋"/>
          <w:color w:val="auto"/>
          <w:sz w:val="32"/>
          <w:szCs w:val="32"/>
          <w:lang w:eastAsia="zh-CN"/>
        </w:rPr>
        <w:t>增长率</w:t>
      </w:r>
      <w:r>
        <w:rPr>
          <w:rFonts w:hint="eastAsia" w:ascii="仿宋" w:hAnsi="仿宋" w:eastAsia="仿宋" w:cs="仿宋"/>
          <w:color w:val="auto"/>
          <w:sz w:val="32"/>
          <w:szCs w:val="32"/>
          <w:lang w:val="en-US" w:eastAsia="zh-CN"/>
        </w:rPr>
        <w:t>19.6</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。全省平均增长率</w:t>
      </w:r>
      <w:r>
        <w:rPr>
          <w:rFonts w:hint="eastAsia" w:ascii="仿宋" w:hAnsi="仿宋" w:eastAsia="仿宋" w:cs="仿宋"/>
          <w:color w:val="auto"/>
          <w:sz w:val="32"/>
          <w:szCs w:val="32"/>
          <w:lang w:val="en-US" w:eastAsia="zh-CN"/>
        </w:rPr>
        <w:t>18.4%，高于全省平均增长率。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）研发经费投入强度</w:t>
      </w:r>
      <w:r>
        <w:rPr>
          <w:rFonts w:hint="eastAsia" w:ascii="仿宋" w:hAnsi="仿宋" w:eastAsia="仿宋" w:cs="仿宋"/>
          <w:color w:val="auto"/>
          <w:sz w:val="32"/>
          <w:szCs w:val="32"/>
          <w:lang w:val="en-US" w:eastAsia="zh-CN"/>
        </w:rPr>
        <w:t>1.05</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eastAsia="zh-CN"/>
        </w:rPr>
        <w:t>占全省平均经费投入强度</w:t>
      </w:r>
      <w:r>
        <w:rPr>
          <w:rFonts w:hint="eastAsia" w:ascii="仿宋" w:hAnsi="仿宋" w:eastAsia="仿宋" w:cs="仿宋"/>
          <w:color w:val="auto"/>
          <w:sz w:val="32"/>
          <w:szCs w:val="32"/>
          <w:lang w:val="en-US" w:eastAsia="zh-CN"/>
        </w:rPr>
        <w:t>1.8%的58.33%，研发经费投入强度偏低。</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实现企业研发费用税前加计扣除额（错年值）</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2018年实现企业研发费用税前加计扣除额（错年值）3.82亿元，减免高新技术企业所得税3251.62万元，2019年实现企业研发费用税前加计扣除额（错年值）4.69亿元，减免高新技术企业所得税7725万元，增长率为22.77%。</w:t>
      </w:r>
    </w:p>
    <w:p>
      <w:pPr>
        <w:pStyle w:val="2"/>
        <w:rPr>
          <w:rFonts w:hint="eastAsia" w:ascii="仿宋_GB2312" w:hAnsi="宋体" w:eastAsia="仿宋_GB2312" w:cs="仿宋_GB2312"/>
          <w:b/>
          <w:bCs/>
          <w:color w:val="auto"/>
          <w:sz w:val="32"/>
          <w:szCs w:val="32"/>
          <w:lang w:eastAsia="zh-CN"/>
        </w:rPr>
      </w:pPr>
      <w:r>
        <w:rPr>
          <w:rFonts w:hint="eastAsia" w:ascii="仿宋_GB2312" w:hAnsi="宋体" w:eastAsia="仿宋_GB2312" w:cs="仿宋_GB2312"/>
          <w:b/>
          <w:bCs/>
          <w:color w:val="auto"/>
          <w:sz w:val="32"/>
          <w:szCs w:val="32"/>
          <w:lang w:val="en-US" w:eastAsia="zh-CN"/>
        </w:rPr>
        <w:t>2.</w:t>
      </w:r>
      <w:r>
        <w:rPr>
          <w:rFonts w:hint="eastAsia" w:ascii="仿宋_GB2312" w:hAnsi="宋体" w:eastAsia="仿宋_GB2312" w:cs="仿宋_GB2312"/>
          <w:b/>
          <w:bCs/>
          <w:color w:val="auto"/>
          <w:sz w:val="32"/>
          <w:szCs w:val="32"/>
          <w:lang w:eastAsia="zh-CN"/>
        </w:rPr>
        <w:t>机构建设完成情况分析：</w:t>
      </w:r>
    </w:p>
    <w:p>
      <w:pPr>
        <w:pStyle w:val="2"/>
        <w:rPr>
          <w:rFonts w:hint="eastAsia" w:ascii="仿宋" w:hAnsi="仿宋" w:eastAsia="仿宋" w:cs="仿宋"/>
          <w:color w:val="auto"/>
          <w:kern w:val="0"/>
          <w:sz w:val="32"/>
          <w:szCs w:val="32"/>
          <w:lang w:val="en-US" w:eastAsia="zh-CN"/>
        </w:rPr>
      </w:pP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w:t>
      </w:r>
      <w:r>
        <w:rPr>
          <w:rFonts w:hint="eastAsia" w:ascii="仿宋_GB2312" w:hAnsi="宋体" w:eastAsia="仿宋_GB2312" w:cs="仿宋_GB2312"/>
          <w:color w:val="auto"/>
          <w:sz w:val="32"/>
          <w:szCs w:val="32"/>
          <w:lang w:eastAsia="zh-CN"/>
        </w:rPr>
        <w:t>）</w:t>
      </w:r>
      <w:r>
        <w:rPr>
          <w:rFonts w:hint="eastAsia" w:ascii="仿宋" w:hAnsi="仿宋" w:eastAsia="仿宋" w:cs="仿宋"/>
          <w:color w:val="auto"/>
          <w:kern w:val="0"/>
          <w:sz w:val="32"/>
          <w:szCs w:val="32"/>
          <w:lang w:eastAsia="zh-CN"/>
        </w:rPr>
        <w:t>三明市经认定省级新型研发机构</w:t>
      </w:r>
      <w:r>
        <w:rPr>
          <w:rFonts w:hint="eastAsia" w:ascii="仿宋" w:hAnsi="仿宋" w:eastAsia="仿宋" w:cs="仿宋"/>
          <w:color w:val="auto"/>
          <w:kern w:val="0"/>
          <w:sz w:val="32"/>
          <w:szCs w:val="32"/>
          <w:lang w:val="en-US" w:eastAsia="zh-CN"/>
        </w:rPr>
        <w:t>9个。（2）</w:t>
      </w:r>
      <w:r>
        <w:rPr>
          <w:rFonts w:hint="eastAsia" w:ascii="仿宋" w:hAnsi="仿宋" w:eastAsia="仿宋" w:cs="仿宋"/>
          <w:color w:val="auto"/>
          <w:kern w:val="0"/>
          <w:sz w:val="32"/>
          <w:szCs w:val="32"/>
          <w:lang w:eastAsia="zh-CN"/>
        </w:rPr>
        <w:t>新增认定省级科技企业孵化器数量</w:t>
      </w:r>
      <w:r>
        <w:rPr>
          <w:rFonts w:hint="eastAsia" w:ascii="仿宋" w:hAnsi="仿宋" w:eastAsia="仿宋" w:cs="仿宋"/>
          <w:color w:val="auto"/>
          <w:kern w:val="0"/>
          <w:sz w:val="32"/>
          <w:szCs w:val="32"/>
          <w:lang w:val="en-US" w:eastAsia="zh-CN"/>
        </w:rPr>
        <w:t>0家。</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lang w:eastAsia="zh-CN"/>
        </w:rPr>
        <w:t>）新增国家备案众创空间数量</w:t>
      </w:r>
      <w:r>
        <w:rPr>
          <w:rFonts w:hint="eastAsia" w:ascii="仿宋" w:hAnsi="仿宋" w:eastAsia="仿宋" w:cs="仿宋"/>
          <w:color w:val="auto"/>
          <w:kern w:val="0"/>
          <w:sz w:val="32"/>
          <w:szCs w:val="32"/>
          <w:lang w:val="en-US" w:eastAsia="zh-CN"/>
        </w:rPr>
        <w:t>1家。（4）新增孵化器、众创空间年收入额28.30万元。（5）孵化器入驻企业年营业收入增长率：（1353581.96-723145.24）/743245.24=87.15%。</w:t>
      </w:r>
    </w:p>
    <w:p>
      <w:pPr>
        <w:pStyle w:val="2"/>
        <w:ind w:left="0" w:leftChars="0" w:firstLine="642" w:firstLineChars="200"/>
        <w:rPr>
          <w:rFonts w:hint="eastAsia" w:ascii="仿宋_GB2312" w:hAnsi="宋体" w:eastAsia="仿宋_GB2312" w:cs="仿宋_GB2312"/>
          <w:b/>
          <w:bCs/>
          <w:color w:val="auto"/>
          <w:sz w:val="32"/>
          <w:szCs w:val="32"/>
          <w:lang w:eastAsia="zh-CN"/>
        </w:rPr>
      </w:pPr>
      <w:r>
        <w:rPr>
          <w:rFonts w:hint="eastAsia" w:ascii="仿宋_GB2312" w:hAnsi="宋体" w:eastAsia="仿宋_GB2312" w:cs="仿宋_GB2312"/>
          <w:b/>
          <w:bCs/>
          <w:color w:val="auto"/>
          <w:sz w:val="32"/>
          <w:szCs w:val="32"/>
          <w:lang w:val="en-US" w:eastAsia="zh-CN"/>
        </w:rPr>
        <w:t>3.</w:t>
      </w:r>
      <w:r>
        <w:rPr>
          <w:rFonts w:hint="eastAsia" w:ascii="仿宋_GB2312" w:hAnsi="宋体" w:eastAsia="仿宋_GB2312" w:cs="仿宋_GB2312"/>
          <w:b/>
          <w:bCs/>
          <w:color w:val="auto"/>
          <w:sz w:val="32"/>
          <w:szCs w:val="32"/>
          <w:lang w:eastAsia="zh-CN"/>
        </w:rPr>
        <w:t>高新技术企业发展完成情况分析：</w:t>
      </w:r>
    </w:p>
    <w:p>
      <w:pPr>
        <w:pStyle w:val="2"/>
        <w:rPr>
          <w:rFonts w:hint="eastAsia" w:ascii="仿宋" w:hAnsi="仿宋" w:eastAsia="仿宋" w:cs="仿宋"/>
          <w:color w:val="auto"/>
          <w:kern w:val="0"/>
          <w:sz w:val="32"/>
          <w:szCs w:val="32"/>
          <w:lang w:val="en-US" w:eastAsia="zh-CN"/>
        </w:rPr>
      </w:pP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w:t>
      </w:r>
      <w:r>
        <w:rPr>
          <w:rFonts w:hint="eastAsia" w:ascii="仿宋_GB2312" w:hAnsi="宋体" w:eastAsia="仿宋_GB2312" w:cs="仿宋_GB2312"/>
          <w:color w:val="auto"/>
          <w:sz w:val="32"/>
          <w:szCs w:val="32"/>
          <w:lang w:eastAsia="zh-CN"/>
        </w:rPr>
        <w:t>）</w:t>
      </w:r>
      <w:r>
        <w:rPr>
          <w:rFonts w:hint="eastAsia" w:ascii="仿宋" w:hAnsi="仿宋" w:eastAsia="仿宋" w:cs="仿宋"/>
          <w:color w:val="auto"/>
          <w:kern w:val="0"/>
          <w:sz w:val="32"/>
          <w:szCs w:val="32"/>
          <w:lang w:eastAsia="zh-CN"/>
        </w:rPr>
        <w:t>奖励新增入库省级高新技术企业数量</w:t>
      </w:r>
      <w:r>
        <w:rPr>
          <w:rFonts w:hint="eastAsia" w:ascii="仿宋" w:hAnsi="仿宋" w:eastAsia="仿宋" w:cs="仿宋"/>
          <w:color w:val="auto"/>
          <w:kern w:val="0"/>
          <w:sz w:val="32"/>
          <w:szCs w:val="32"/>
          <w:lang w:val="en-US" w:eastAsia="zh-CN"/>
        </w:rPr>
        <w:t>38家，市本级奖补资金合计378.28万元。（2）</w:t>
      </w:r>
      <w:r>
        <w:rPr>
          <w:rFonts w:hint="eastAsia" w:ascii="仿宋" w:hAnsi="仿宋" w:eastAsia="仿宋" w:cs="仿宋"/>
          <w:color w:val="auto"/>
          <w:kern w:val="0"/>
          <w:sz w:val="32"/>
          <w:szCs w:val="32"/>
          <w:lang w:eastAsia="zh-CN"/>
        </w:rPr>
        <w:t>奖励出库省级高新技术企业数量</w:t>
      </w:r>
      <w:r>
        <w:rPr>
          <w:rFonts w:hint="eastAsia" w:ascii="仿宋" w:hAnsi="仿宋" w:eastAsia="仿宋" w:cs="仿宋"/>
          <w:color w:val="auto"/>
          <w:kern w:val="0"/>
          <w:sz w:val="32"/>
          <w:szCs w:val="32"/>
          <w:lang w:val="en-US" w:eastAsia="zh-CN"/>
        </w:rPr>
        <w:t>26家，市本级奖补金额合计198.00万元。</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lang w:eastAsia="zh-CN"/>
        </w:rPr>
        <w:t>）三明市有效省级高新技术企业数量</w:t>
      </w:r>
      <w:r>
        <w:rPr>
          <w:rFonts w:hint="eastAsia" w:ascii="仿宋" w:hAnsi="仿宋" w:eastAsia="仿宋" w:cs="仿宋"/>
          <w:color w:val="auto"/>
          <w:kern w:val="0"/>
          <w:sz w:val="32"/>
          <w:szCs w:val="32"/>
          <w:lang w:val="en-US" w:eastAsia="zh-CN"/>
        </w:rPr>
        <w:t>81家，其中2019年新增认定省级高新技术企业数量26家。（4）</w:t>
      </w:r>
      <w:r>
        <w:rPr>
          <w:rFonts w:hint="eastAsia" w:ascii="仿宋" w:hAnsi="仿宋" w:eastAsia="仿宋" w:cs="仿宋"/>
          <w:color w:val="auto"/>
          <w:kern w:val="0"/>
          <w:sz w:val="32"/>
          <w:szCs w:val="32"/>
          <w:lang w:eastAsia="zh-CN"/>
        </w:rPr>
        <w:t>三明市有效国家高新技术企业数量</w:t>
      </w:r>
      <w:r>
        <w:rPr>
          <w:rFonts w:hint="eastAsia" w:ascii="仿宋" w:hAnsi="仿宋" w:eastAsia="仿宋" w:cs="仿宋"/>
          <w:color w:val="auto"/>
          <w:kern w:val="0"/>
          <w:sz w:val="32"/>
          <w:szCs w:val="32"/>
          <w:lang w:val="en-US" w:eastAsia="zh-CN"/>
        </w:rPr>
        <w:t>118家，其中2019年新增认定国家高新技术企业44家。（5）三明市高新技术企业销售增长率：</w:t>
      </w:r>
      <w:r>
        <w:rPr>
          <w:rFonts w:hint="eastAsia" w:ascii="仿宋" w:hAnsi="仿宋" w:eastAsia="仿宋" w:cs="仿宋"/>
          <w:color w:val="auto"/>
          <w:kern w:val="0"/>
          <w:sz w:val="32"/>
          <w:szCs w:val="32"/>
          <w:lang w:val="en-US" w:eastAsia="zh-CN" w:bidi="ar-SA"/>
        </w:rPr>
        <w:t>（12765908.75-14748182.74）/14748182.74=-13.44%。</w:t>
      </w:r>
      <w:r>
        <w:rPr>
          <w:rFonts w:hint="eastAsia" w:ascii="仿宋" w:hAnsi="仿宋" w:eastAsia="仿宋" w:cs="仿宋"/>
          <w:color w:val="auto"/>
          <w:kern w:val="0"/>
          <w:sz w:val="32"/>
          <w:szCs w:val="32"/>
          <w:lang w:val="en-US" w:eastAsia="zh-CN"/>
        </w:rPr>
        <w:t>（6）三明市高新技术企业就业人数增长率：（15316-15480）/15480=-1.06%。（7）服务对象满意度100%，平台当年未收到任何投诉,但未通过问卷及其他的方式进行调查。（8）</w:t>
      </w:r>
      <w:r>
        <w:rPr>
          <w:rFonts w:hint="eastAsia" w:ascii="仿宋" w:hAnsi="仿宋" w:eastAsia="仿宋" w:cs="仿宋"/>
          <w:color w:val="auto"/>
          <w:kern w:val="0"/>
          <w:sz w:val="32"/>
          <w:szCs w:val="32"/>
          <w:highlight w:val="none"/>
          <w:lang w:val="en-US" w:eastAsia="zh-CN"/>
        </w:rPr>
        <w:t>高新技术企业申报通过率，通过申报高新技术企业数量及成功通过认定，</w:t>
      </w:r>
      <w:r>
        <w:rPr>
          <w:rFonts w:hint="eastAsia" w:ascii="仿宋" w:hAnsi="仿宋" w:eastAsia="仿宋" w:cs="仿宋"/>
          <w:color w:val="auto"/>
          <w:kern w:val="0"/>
          <w:sz w:val="32"/>
          <w:szCs w:val="32"/>
          <w:lang w:val="en-US" w:eastAsia="zh-CN"/>
        </w:rPr>
        <w:t>省级高新技术企业的认定率：38/57=66.67%，国家级高新企业认定率：44/61=72.13%。</w:t>
      </w:r>
    </w:p>
    <w:p>
      <w:pPr>
        <w:pStyle w:val="2"/>
        <w:rPr>
          <w:rFonts w:ascii="楷体_GB2312" w:hAnsi="宋体" w:eastAsia="楷体_GB2312"/>
          <w:b/>
          <w:bCs/>
          <w:color w:val="auto"/>
          <w:sz w:val="32"/>
          <w:szCs w:val="32"/>
        </w:rPr>
      </w:pPr>
      <w:r>
        <w:rPr>
          <w:rFonts w:hint="eastAsia" w:ascii="楷体_GB2312" w:hAnsi="宋体" w:eastAsia="楷体_GB2312" w:cs="楷体_GB2312"/>
          <w:b/>
          <w:bCs/>
          <w:color w:val="auto"/>
          <w:sz w:val="32"/>
          <w:szCs w:val="32"/>
        </w:rPr>
        <w:t>（二）绩效指标得分情况分析</w:t>
      </w:r>
    </w:p>
    <w:p>
      <w:pPr>
        <w:keepNext w:val="0"/>
        <w:keepLines w:val="0"/>
        <w:pageBreakBefore w:val="0"/>
        <w:kinsoku/>
        <w:wordWrap/>
        <w:overflowPunct/>
        <w:topLinePunct w:val="0"/>
        <w:autoSpaceDE/>
        <w:autoSpaceDN/>
        <w:bidi w:val="0"/>
        <w:adjustRightInd/>
        <w:snapToGrid/>
        <w:spacing w:line="520" w:lineRule="exact"/>
        <w:ind w:firstLine="640" w:firstLineChars="200"/>
        <w:rPr>
          <w:rFonts w:ascii="仿宋_GB2312" w:hAnsi="宋体" w:eastAsia="仿宋_GB2312"/>
          <w:color w:val="auto"/>
          <w:sz w:val="32"/>
          <w:szCs w:val="32"/>
          <w:highlight w:val="yellow"/>
        </w:rPr>
      </w:pPr>
      <w:r>
        <w:rPr>
          <w:rFonts w:hint="eastAsia" w:ascii="仿宋_GB2312" w:hAnsi="宋体" w:eastAsia="仿宋_GB2312" w:cs="仿宋_GB2312"/>
          <w:color w:val="auto"/>
          <w:sz w:val="32"/>
          <w:szCs w:val="32"/>
        </w:rPr>
        <w:t>此次项目评价共设计三级指标进行评价，其中：一级指标</w:t>
      </w:r>
      <w:r>
        <w:rPr>
          <w:rFonts w:ascii="仿宋_GB2312" w:hAnsi="宋体" w:eastAsia="仿宋_GB2312" w:cs="仿宋_GB2312"/>
          <w:color w:val="auto"/>
          <w:sz w:val="32"/>
          <w:szCs w:val="32"/>
        </w:rPr>
        <w:t>4</w:t>
      </w:r>
      <w:r>
        <w:rPr>
          <w:rFonts w:hint="eastAsia" w:ascii="仿宋_GB2312" w:hAnsi="宋体" w:eastAsia="仿宋_GB2312" w:cs="仿宋_GB2312"/>
          <w:color w:val="auto"/>
          <w:sz w:val="32"/>
          <w:szCs w:val="32"/>
        </w:rPr>
        <w:t>个、二级指标</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lang w:val="en-US" w:eastAsia="zh-CN"/>
        </w:rPr>
        <w:t>1</w:t>
      </w:r>
      <w:r>
        <w:rPr>
          <w:rFonts w:hint="eastAsia" w:ascii="仿宋_GB2312" w:hAnsi="宋体" w:eastAsia="仿宋_GB2312" w:cs="仿宋_GB2312"/>
          <w:color w:val="auto"/>
          <w:sz w:val="32"/>
          <w:szCs w:val="32"/>
        </w:rPr>
        <w:t>个、三级指标</w:t>
      </w: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lang w:val="en-US" w:eastAsia="zh-CN"/>
        </w:rPr>
        <w:t>7</w:t>
      </w:r>
      <w:r>
        <w:rPr>
          <w:rFonts w:hint="eastAsia" w:ascii="仿宋_GB2312" w:hAnsi="宋体" w:eastAsia="仿宋_GB2312" w:cs="仿宋_GB2312"/>
          <w:color w:val="auto"/>
          <w:sz w:val="32"/>
          <w:szCs w:val="32"/>
        </w:rPr>
        <w:t>个</w:t>
      </w:r>
      <w:r>
        <w:rPr>
          <w:rFonts w:hint="eastAsia" w:ascii="仿宋_GB2312" w:hAnsi="宋体" w:eastAsia="仿宋_GB2312" w:cs="仿宋_GB2312"/>
          <w:color w:val="auto"/>
          <w:kern w:val="0"/>
          <w:sz w:val="32"/>
          <w:szCs w:val="32"/>
        </w:rPr>
        <w:t>，对</w:t>
      </w: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年度</w:t>
      </w:r>
      <w:r>
        <w:rPr>
          <w:rFonts w:hint="eastAsia" w:ascii="仿宋" w:hAnsi="仿宋" w:eastAsia="仿宋" w:cs="仿宋"/>
          <w:color w:val="auto"/>
          <w:kern w:val="0"/>
          <w:sz w:val="32"/>
          <w:szCs w:val="32"/>
        </w:rPr>
        <w:t>研发经费投入、机构建设及支持高新技术企业发展专项</w:t>
      </w:r>
      <w:r>
        <w:rPr>
          <w:rFonts w:hint="eastAsia" w:ascii="仿宋" w:hAnsi="仿宋" w:eastAsia="仿宋" w:cs="仿宋"/>
          <w:color w:val="auto"/>
          <w:kern w:val="0"/>
          <w:sz w:val="32"/>
          <w:szCs w:val="32"/>
          <w:lang w:eastAsia="zh-CN"/>
        </w:rPr>
        <w:t>资金</w:t>
      </w:r>
      <w:r>
        <w:rPr>
          <w:rFonts w:hint="eastAsia" w:ascii="仿宋" w:hAnsi="仿宋" w:eastAsia="仿宋" w:cs="仿宋"/>
          <w:color w:val="auto"/>
          <w:kern w:val="0"/>
          <w:sz w:val="32"/>
          <w:szCs w:val="32"/>
        </w:rPr>
        <w:t>项目</w:t>
      </w:r>
      <w:r>
        <w:rPr>
          <w:rFonts w:hint="eastAsia" w:ascii="仿宋" w:hAnsi="仿宋" w:eastAsia="仿宋" w:cs="仿宋"/>
          <w:color w:val="auto"/>
          <w:kern w:val="0"/>
          <w:sz w:val="32"/>
          <w:szCs w:val="32"/>
          <w:lang w:eastAsia="zh-CN"/>
        </w:rPr>
        <w:t>进行</w:t>
      </w:r>
      <w:r>
        <w:rPr>
          <w:rFonts w:hint="eastAsia" w:ascii="仿宋_GB2312" w:hAnsi="宋体" w:eastAsia="仿宋_GB2312" w:cs="仿宋_GB2312"/>
          <w:color w:val="auto"/>
          <w:sz w:val="32"/>
          <w:szCs w:val="32"/>
        </w:rPr>
        <w:t>绩效</w:t>
      </w:r>
      <w:r>
        <w:rPr>
          <w:rFonts w:hint="eastAsia" w:ascii="仿宋_GB2312" w:hAnsi="宋体" w:eastAsia="仿宋_GB2312" w:cs="仿宋_GB2312"/>
          <w:color w:val="auto"/>
          <w:kern w:val="0"/>
          <w:sz w:val="32"/>
          <w:szCs w:val="32"/>
        </w:rPr>
        <w:t>评价。</w:t>
      </w:r>
      <w:r>
        <w:rPr>
          <w:rFonts w:hint="eastAsia" w:ascii="仿宋_GB2312" w:hAnsi="宋体" w:eastAsia="仿宋_GB2312" w:cs="仿宋_GB2312"/>
          <w:color w:val="auto"/>
          <w:kern w:val="0"/>
          <w:sz w:val="32"/>
          <w:szCs w:val="32"/>
          <w:highlight w:val="none"/>
        </w:rPr>
        <w:t>在</w:t>
      </w:r>
      <w:r>
        <w:rPr>
          <w:rFonts w:hint="eastAsia" w:ascii="仿宋_GB2312" w:hAnsi="宋体" w:eastAsia="仿宋_GB2312" w:cs="仿宋_GB2312"/>
          <w:color w:val="auto"/>
          <w:kern w:val="0"/>
          <w:sz w:val="32"/>
          <w:szCs w:val="32"/>
          <w:highlight w:val="none"/>
          <w:lang w:eastAsia="zh-CN"/>
        </w:rPr>
        <w:t>决策</w:t>
      </w:r>
      <w:r>
        <w:rPr>
          <w:rFonts w:hint="eastAsia" w:ascii="仿宋_GB2312" w:hAnsi="宋体" w:eastAsia="仿宋_GB2312" w:cs="仿宋_GB2312"/>
          <w:color w:val="auto"/>
          <w:kern w:val="0"/>
          <w:sz w:val="32"/>
          <w:szCs w:val="32"/>
          <w:highlight w:val="none"/>
        </w:rPr>
        <w:t>方面重点评价项目立项、资金分配、资金落实等方面工作；在过程方面重点评价业务管理、资金使用管理等方面工作；在产出方面重点评价项目产出数量及质量、在效益方面重点评价经济效益、社会效益、可持续效益及服务对象满意度等方面工作。</w:t>
      </w:r>
    </w:p>
    <w:p>
      <w:pPr>
        <w:keepNext w:val="0"/>
        <w:keepLines w:val="0"/>
        <w:pageBreakBefore w:val="0"/>
        <w:kinsoku/>
        <w:wordWrap/>
        <w:overflowPunct/>
        <w:topLinePunct w:val="0"/>
        <w:autoSpaceDE/>
        <w:autoSpaceDN/>
        <w:bidi w:val="0"/>
        <w:adjustRightInd/>
        <w:snapToGrid/>
        <w:spacing w:line="520" w:lineRule="exact"/>
        <w:ind w:firstLine="640" w:firstLineChars="200"/>
        <w:rPr>
          <w:rFonts w:ascii="仿宋_GB2312" w:hAnsi="宋体" w:eastAsia="仿宋_GB2312"/>
          <w:color w:val="auto"/>
          <w:kern w:val="0"/>
          <w:sz w:val="32"/>
          <w:szCs w:val="32"/>
        </w:rPr>
      </w:pPr>
      <w:r>
        <w:rPr>
          <w:rFonts w:hint="eastAsia" w:ascii="仿宋_GB2312" w:hAnsi="宋体" w:eastAsia="仿宋_GB2312" w:cs="仿宋_GB2312"/>
          <w:color w:val="auto"/>
          <w:kern w:val="0"/>
          <w:sz w:val="32"/>
          <w:szCs w:val="32"/>
          <w:lang w:eastAsia="zh-CN"/>
        </w:rPr>
        <w:t>2020</w:t>
      </w:r>
      <w:r>
        <w:rPr>
          <w:rFonts w:hint="eastAsia" w:ascii="仿宋_GB2312" w:hAnsi="宋体" w:eastAsia="仿宋_GB2312" w:cs="仿宋_GB2312"/>
          <w:color w:val="auto"/>
          <w:kern w:val="0"/>
          <w:sz w:val="32"/>
          <w:szCs w:val="32"/>
        </w:rPr>
        <w:t>年度</w:t>
      </w:r>
      <w:r>
        <w:rPr>
          <w:rFonts w:hint="eastAsia" w:ascii="仿宋" w:hAnsi="仿宋" w:eastAsia="仿宋" w:cs="仿宋"/>
          <w:color w:val="auto"/>
          <w:kern w:val="0"/>
          <w:sz w:val="32"/>
          <w:szCs w:val="32"/>
        </w:rPr>
        <w:t>研发经费投入、机构建设及支持高新技术企业发展专项</w:t>
      </w:r>
      <w:r>
        <w:rPr>
          <w:rFonts w:hint="eastAsia" w:ascii="仿宋" w:hAnsi="仿宋" w:eastAsia="仿宋" w:cs="仿宋"/>
          <w:color w:val="auto"/>
          <w:kern w:val="0"/>
          <w:sz w:val="32"/>
          <w:szCs w:val="32"/>
          <w:lang w:eastAsia="zh-CN"/>
        </w:rPr>
        <w:t>资金</w:t>
      </w:r>
      <w:r>
        <w:rPr>
          <w:rFonts w:hint="eastAsia" w:ascii="仿宋" w:hAnsi="仿宋" w:eastAsia="仿宋" w:cs="仿宋"/>
          <w:color w:val="auto"/>
          <w:kern w:val="0"/>
          <w:sz w:val="32"/>
          <w:szCs w:val="32"/>
        </w:rPr>
        <w:t>项目</w:t>
      </w:r>
      <w:r>
        <w:rPr>
          <w:rFonts w:hint="eastAsia" w:ascii="仿宋_GB2312" w:hAnsi="宋体" w:eastAsia="仿宋_GB2312" w:cs="仿宋_GB2312"/>
          <w:color w:val="auto"/>
          <w:kern w:val="0"/>
          <w:sz w:val="32"/>
          <w:szCs w:val="32"/>
        </w:rPr>
        <w:t>绩效评价总分</w:t>
      </w:r>
      <w:r>
        <w:rPr>
          <w:rFonts w:ascii="仿宋_GB2312" w:hAnsi="宋体" w:eastAsia="仿宋_GB2312" w:cs="仿宋_GB2312"/>
          <w:color w:val="auto"/>
          <w:kern w:val="0"/>
          <w:sz w:val="32"/>
          <w:szCs w:val="32"/>
        </w:rPr>
        <w:t>100</w:t>
      </w:r>
      <w:r>
        <w:rPr>
          <w:rFonts w:hint="eastAsia" w:ascii="仿宋_GB2312" w:hAnsi="宋体" w:eastAsia="仿宋_GB2312" w:cs="仿宋_GB2312"/>
          <w:color w:val="auto"/>
          <w:kern w:val="0"/>
          <w:sz w:val="32"/>
          <w:szCs w:val="32"/>
        </w:rPr>
        <w:t>分，绩效评价小组对照评分标准和绩效分值，对</w:t>
      </w:r>
      <w:r>
        <w:rPr>
          <w:rFonts w:hint="eastAsia" w:ascii="仿宋_GB2312" w:hAnsi="宋体" w:eastAsia="仿宋_GB2312" w:cs="仿宋_GB2312"/>
          <w:color w:val="auto"/>
          <w:kern w:val="0"/>
          <w:sz w:val="32"/>
          <w:szCs w:val="32"/>
          <w:lang w:eastAsia="zh-CN"/>
        </w:rPr>
        <w:t>决策</w:t>
      </w:r>
      <w:r>
        <w:rPr>
          <w:rFonts w:hint="eastAsia" w:ascii="仿宋_GB2312" w:hAnsi="宋体" w:eastAsia="仿宋_GB2312" w:cs="仿宋_GB2312"/>
          <w:color w:val="auto"/>
          <w:kern w:val="0"/>
          <w:sz w:val="32"/>
          <w:szCs w:val="32"/>
        </w:rPr>
        <w:t>、过程、产出及效益等四大类</w:t>
      </w:r>
      <w:r>
        <w:rPr>
          <w:rFonts w:ascii="仿宋_GB2312" w:hAnsi="宋体" w:eastAsia="仿宋_GB2312" w:cs="仿宋_GB2312"/>
          <w:color w:val="auto"/>
          <w:kern w:val="0"/>
          <w:sz w:val="32"/>
          <w:szCs w:val="32"/>
        </w:rPr>
        <w:t>2</w:t>
      </w:r>
      <w:r>
        <w:rPr>
          <w:rFonts w:hint="eastAsia" w:ascii="仿宋_GB2312" w:hAnsi="宋体" w:eastAsia="仿宋_GB2312" w:cs="仿宋_GB2312"/>
          <w:color w:val="auto"/>
          <w:kern w:val="0"/>
          <w:sz w:val="32"/>
          <w:szCs w:val="32"/>
          <w:lang w:val="en-US" w:eastAsia="zh-CN"/>
        </w:rPr>
        <w:t>7</w:t>
      </w:r>
      <w:r>
        <w:rPr>
          <w:rFonts w:hint="eastAsia" w:ascii="仿宋_GB2312" w:hAnsi="宋体" w:eastAsia="仿宋_GB2312" w:cs="仿宋_GB2312"/>
          <w:color w:val="auto"/>
          <w:kern w:val="0"/>
          <w:sz w:val="32"/>
          <w:szCs w:val="32"/>
        </w:rPr>
        <w:t>个指标进行了逐项评分，并根据评分，分为优（≥</w:t>
      </w:r>
      <w:r>
        <w:rPr>
          <w:rFonts w:ascii="仿宋_GB2312" w:hAnsi="宋体" w:eastAsia="仿宋_GB2312" w:cs="仿宋_GB2312"/>
          <w:color w:val="auto"/>
          <w:kern w:val="0"/>
          <w:sz w:val="32"/>
          <w:szCs w:val="32"/>
        </w:rPr>
        <w:t>90</w:t>
      </w:r>
      <w:r>
        <w:rPr>
          <w:rFonts w:hint="eastAsia" w:ascii="仿宋_GB2312" w:hAnsi="宋体" w:eastAsia="仿宋_GB2312" w:cs="仿宋_GB2312"/>
          <w:color w:val="auto"/>
          <w:kern w:val="0"/>
          <w:sz w:val="32"/>
          <w:szCs w:val="32"/>
        </w:rPr>
        <w:t>分）、良（</w:t>
      </w:r>
      <w:r>
        <w:rPr>
          <w:rFonts w:ascii="仿宋_GB2312" w:hAnsi="宋体" w:eastAsia="仿宋_GB2312" w:cs="仿宋_GB2312"/>
          <w:color w:val="auto"/>
          <w:kern w:val="0"/>
          <w:sz w:val="32"/>
          <w:szCs w:val="32"/>
        </w:rPr>
        <w:t>90</w:t>
      </w:r>
      <w:r>
        <w:rPr>
          <w:rFonts w:hint="eastAsia" w:ascii="仿宋_GB2312" w:hAnsi="宋体" w:eastAsia="仿宋_GB2312" w:cs="仿宋_GB2312"/>
          <w:color w:val="auto"/>
          <w:kern w:val="0"/>
          <w:sz w:val="32"/>
          <w:szCs w:val="32"/>
        </w:rPr>
        <w:t>分＞总分≥</w:t>
      </w:r>
      <w:r>
        <w:rPr>
          <w:rFonts w:hint="eastAsia" w:ascii="仿宋_GB2312" w:hAnsi="宋体" w:eastAsia="仿宋_GB2312" w:cs="仿宋_GB2312"/>
          <w:color w:val="auto"/>
          <w:kern w:val="0"/>
          <w:sz w:val="32"/>
          <w:szCs w:val="32"/>
          <w:lang w:val="en-US" w:eastAsia="zh-CN"/>
        </w:rPr>
        <w:t>80</w:t>
      </w:r>
      <w:r>
        <w:rPr>
          <w:rFonts w:hint="eastAsia" w:ascii="仿宋_GB2312" w:hAnsi="宋体" w:eastAsia="仿宋_GB2312" w:cs="仿宋_GB2312"/>
          <w:color w:val="auto"/>
          <w:kern w:val="0"/>
          <w:sz w:val="32"/>
          <w:szCs w:val="32"/>
        </w:rPr>
        <w:t>分）、</w:t>
      </w:r>
      <w:r>
        <w:rPr>
          <w:rFonts w:hint="eastAsia" w:ascii="仿宋_GB2312" w:hAnsi="宋体" w:eastAsia="仿宋_GB2312" w:cs="仿宋_GB2312"/>
          <w:color w:val="auto"/>
          <w:kern w:val="0"/>
          <w:sz w:val="32"/>
          <w:szCs w:val="32"/>
          <w:lang w:eastAsia="zh-CN"/>
        </w:rPr>
        <w:t>中</w:t>
      </w: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val="en-US" w:eastAsia="zh-CN"/>
        </w:rPr>
        <w:t>80</w:t>
      </w:r>
      <w:r>
        <w:rPr>
          <w:rFonts w:hint="eastAsia" w:ascii="仿宋_GB2312" w:hAnsi="宋体" w:eastAsia="仿宋_GB2312" w:cs="仿宋_GB2312"/>
          <w:color w:val="auto"/>
          <w:kern w:val="0"/>
          <w:sz w:val="32"/>
          <w:szCs w:val="32"/>
        </w:rPr>
        <w:t>分＞总分≥</w:t>
      </w:r>
      <w:r>
        <w:rPr>
          <w:rFonts w:ascii="仿宋_GB2312" w:hAnsi="宋体" w:eastAsia="仿宋_GB2312" w:cs="仿宋_GB2312"/>
          <w:color w:val="auto"/>
          <w:kern w:val="0"/>
          <w:sz w:val="32"/>
          <w:szCs w:val="32"/>
        </w:rPr>
        <w:t>60</w:t>
      </w:r>
      <w:r>
        <w:rPr>
          <w:rFonts w:hint="eastAsia" w:ascii="仿宋_GB2312" w:hAnsi="宋体" w:eastAsia="仿宋_GB2312" w:cs="仿宋_GB2312"/>
          <w:color w:val="auto"/>
          <w:kern w:val="0"/>
          <w:sz w:val="32"/>
          <w:szCs w:val="32"/>
        </w:rPr>
        <w:t>分）、</w:t>
      </w:r>
      <w:r>
        <w:rPr>
          <w:rFonts w:hint="eastAsia" w:ascii="仿宋_GB2312" w:hAnsi="宋体" w:eastAsia="仿宋_GB2312" w:cs="仿宋_GB2312"/>
          <w:color w:val="auto"/>
          <w:kern w:val="0"/>
          <w:sz w:val="32"/>
          <w:szCs w:val="32"/>
          <w:lang w:eastAsia="zh-CN"/>
        </w:rPr>
        <w:t>差</w:t>
      </w:r>
      <w:r>
        <w:rPr>
          <w:rFonts w:hint="eastAsia" w:ascii="仿宋_GB2312" w:hAnsi="宋体" w:eastAsia="仿宋_GB2312" w:cs="仿宋_GB2312"/>
          <w:color w:val="auto"/>
          <w:kern w:val="0"/>
          <w:sz w:val="32"/>
          <w:szCs w:val="32"/>
        </w:rPr>
        <w:t>（</w:t>
      </w:r>
      <w:r>
        <w:rPr>
          <w:rFonts w:ascii="仿宋_GB2312" w:hAnsi="宋体" w:eastAsia="仿宋_GB2312" w:cs="仿宋_GB2312"/>
          <w:color w:val="auto"/>
          <w:kern w:val="0"/>
          <w:sz w:val="32"/>
          <w:szCs w:val="32"/>
        </w:rPr>
        <w:t>&lt;60</w:t>
      </w:r>
      <w:r>
        <w:rPr>
          <w:rFonts w:hint="eastAsia" w:ascii="仿宋_GB2312" w:hAnsi="宋体" w:eastAsia="仿宋_GB2312" w:cs="仿宋_GB2312"/>
          <w:color w:val="auto"/>
          <w:kern w:val="0"/>
          <w:sz w:val="32"/>
          <w:szCs w:val="32"/>
        </w:rPr>
        <w:t>分）四个等级。该项目绩效评价综合得分</w:t>
      </w:r>
      <w:r>
        <w:rPr>
          <w:rFonts w:hint="eastAsia" w:ascii="仿宋_GB2312" w:hAnsi="宋体" w:eastAsia="仿宋_GB2312" w:cs="仿宋_GB2312"/>
          <w:color w:val="auto"/>
          <w:kern w:val="0"/>
          <w:sz w:val="32"/>
          <w:szCs w:val="32"/>
          <w:lang w:val="en-US" w:eastAsia="zh-CN"/>
        </w:rPr>
        <w:t>82</w:t>
      </w:r>
      <w:r>
        <w:rPr>
          <w:rFonts w:hint="eastAsia" w:ascii="仿宋_GB2312" w:hAnsi="宋体" w:eastAsia="仿宋_GB2312" w:cs="仿宋_GB2312"/>
          <w:color w:val="auto"/>
          <w:kern w:val="0"/>
          <w:sz w:val="32"/>
          <w:szCs w:val="32"/>
        </w:rPr>
        <w:t>分，评价等级为良</w:t>
      </w:r>
      <w:r>
        <w:rPr>
          <w:rFonts w:hint="eastAsia" w:ascii="仿宋_GB2312" w:hAnsi="宋体" w:eastAsia="仿宋_GB2312" w:cs="仿宋_GB2312"/>
          <w:color w:val="auto"/>
          <w:kern w:val="0"/>
          <w:sz w:val="32"/>
          <w:szCs w:val="32"/>
          <w:lang w:eastAsia="zh-CN"/>
        </w:rPr>
        <w:t>，分类别情况如下：</w:t>
      </w:r>
    </w:p>
    <w:p>
      <w:pPr>
        <w:keepNext w:val="0"/>
        <w:keepLines w:val="0"/>
        <w:pageBreakBefore w:val="0"/>
        <w:kinsoku/>
        <w:wordWrap/>
        <w:overflowPunct/>
        <w:topLinePunct w:val="0"/>
        <w:autoSpaceDE/>
        <w:autoSpaceDN/>
        <w:bidi w:val="0"/>
        <w:adjustRightInd/>
        <w:snapToGrid/>
        <w:spacing w:line="520" w:lineRule="exact"/>
        <w:ind w:firstLine="642" w:firstLineChars="200"/>
        <w:rPr>
          <w:rFonts w:ascii="仿宋_GB2312" w:hAnsi="宋体" w:eastAsia="仿宋_GB2312"/>
          <w:color w:val="auto"/>
          <w:kern w:val="0"/>
          <w:sz w:val="32"/>
          <w:szCs w:val="32"/>
        </w:rPr>
      </w:pPr>
      <w:r>
        <w:rPr>
          <w:rFonts w:ascii="仿宋_GB2312" w:hAnsi="宋体" w:eastAsia="仿宋_GB2312" w:cs="仿宋_GB2312"/>
          <w:b/>
          <w:bCs/>
          <w:color w:val="auto"/>
          <w:kern w:val="0"/>
          <w:sz w:val="32"/>
          <w:szCs w:val="32"/>
        </w:rPr>
        <w:t>1.</w:t>
      </w:r>
      <w:r>
        <w:rPr>
          <w:rFonts w:hint="eastAsia" w:ascii="仿宋_GB2312" w:hAnsi="宋体" w:eastAsia="仿宋_GB2312" w:cs="仿宋_GB2312"/>
          <w:b/>
          <w:bCs/>
          <w:color w:val="auto"/>
          <w:kern w:val="0"/>
          <w:sz w:val="32"/>
          <w:szCs w:val="32"/>
        </w:rPr>
        <w:t>项目</w:t>
      </w:r>
      <w:r>
        <w:rPr>
          <w:rFonts w:hint="eastAsia" w:ascii="仿宋_GB2312" w:hAnsi="宋体" w:eastAsia="仿宋_GB2312" w:cs="仿宋_GB2312"/>
          <w:b/>
          <w:bCs/>
          <w:color w:val="auto"/>
          <w:kern w:val="0"/>
          <w:sz w:val="32"/>
          <w:szCs w:val="32"/>
          <w:lang w:eastAsia="zh-CN"/>
        </w:rPr>
        <w:t>决策</w:t>
      </w:r>
      <w:r>
        <w:rPr>
          <w:rFonts w:hint="eastAsia" w:ascii="仿宋_GB2312" w:hAnsi="宋体" w:eastAsia="仿宋_GB2312" w:cs="仿宋_GB2312"/>
          <w:b/>
          <w:bCs/>
          <w:color w:val="auto"/>
          <w:kern w:val="0"/>
          <w:sz w:val="32"/>
          <w:szCs w:val="32"/>
        </w:rPr>
        <w:t>评价指标满分</w:t>
      </w:r>
      <w:r>
        <w:rPr>
          <w:rFonts w:ascii="仿宋_GB2312" w:hAnsi="宋体" w:eastAsia="仿宋_GB2312" w:cs="仿宋_GB2312"/>
          <w:b/>
          <w:bCs/>
          <w:color w:val="auto"/>
          <w:kern w:val="0"/>
          <w:sz w:val="32"/>
          <w:szCs w:val="32"/>
        </w:rPr>
        <w:t>2</w:t>
      </w:r>
      <w:r>
        <w:rPr>
          <w:rFonts w:hint="eastAsia" w:ascii="仿宋_GB2312" w:hAnsi="宋体" w:eastAsia="仿宋_GB2312" w:cs="仿宋_GB2312"/>
          <w:b/>
          <w:bCs/>
          <w:color w:val="auto"/>
          <w:kern w:val="0"/>
          <w:sz w:val="32"/>
          <w:szCs w:val="32"/>
          <w:lang w:val="en-US" w:eastAsia="zh-CN"/>
        </w:rPr>
        <w:t>2</w:t>
      </w:r>
      <w:r>
        <w:rPr>
          <w:rFonts w:hint="eastAsia" w:ascii="仿宋_GB2312" w:hAnsi="宋体" w:eastAsia="仿宋_GB2312" w:cs="仿宋_GB2312"/>
          <w:b/>
          <w:bCs/>
          <w:color w:val="auto"/>
          <w:kern w:val="0"/>
          <w:sz w:val="32"/>
          <w:szCs w:val="32"/>
        </w:rPr>
        <w:t>分，评价</w:t>
      </w:r>
      <w:r>
        <w:rPr>
          <w:rFonts w:hint="eastAsia" w:ascii="仿宋_GB2312" w:hAnsi="宋体" w:eastAsia="仿宋_GB2312" w:cs="仿宋_GB2312"/>
          <w:b/>
          <w:bCs/>
          <w:color w:val="auto"/>
          <w:kern w:val="0"/>
          <w:sz w:val="32"/>
          <w:szCs w:val="32"/>
          <w:lang w:val="en-US" w:eastAsia="zh-CN"/>
        </w:rPr>
        <w:t>22</w:t>
      </w:r>
      <w:r>
        <w:rPr>
          <w:rFonts w:hint="eastAsia" w:ascii="仿宋_GB2312" w:hAnsi="宋体" w:eastAsia="仿宋_GB2312" w:cs="仿宋_GB2312"/>
          <w:b/>
          <w:bCs/>
          <w:color w:val="auto"/>
          <w:kern w:val="0"/>
          <w:sz w:val="32"/>
          <w:szCs w:val="32"/>
        </w:rPr>
        <w:t>分。</w:t>
      </w:r>
      <w:r>
        <w:rPr>
          <w:rFonts w:hint="eastAsia" w:ascii="仿宋_GB2312" w:hAnsi="宋体" w:eastAsia="仿宋_GB2312" w:cs="仿宋_GB2312"/>
          <w:color w:val="auto"/>
          <w:kern w:val="0"/>
          <w:sz w:val="32"/>
          <w:szCs w:val="32"/>
        </w:rPr>
        <w:t>其中：</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立项依据充分性方面的分值</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分，得分</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分。</w:t>
      </w:r>
      <w:r>
        <w:rPr>
          <w:rFonts w:hint="eastAsia" w:ascii="仿宋_GB2312" w:hAnsi="宋体" w:eastAsia="仿宋_GB2312" w:cs="仿宋_GB2312"/>
          <w:color w:val="auto"/>
          <w:sz w:val="32"/>
          <w:szCs w:val="32"/>
          <w:lang w:eastAsia="zh-CN"/>
        </w:rPr>
        <w:t>该项目根据省政府印发《福建省企业研究经费投入分段补助实施办法（试行）的通知》（闽政〔</w:t>
      </w:r>
      <w:r>
        <w:rPr>
          <w:rFonts w:hint="eastAsia" w:ascii="仿宋_GB2312" w:hAnsi="宋体" w:eastAsia="仿宋_GB2312" w:cs="仿宋_GB2312"/>
          <w:color w:val="auto"/>
          <w:sz w:val="32"/>
          <w:szCs w:val="32"/>
          <w:lang w:val="en-US" w:eastAsia="zh-CN"/>
        </w:rPr>
        <w:t>2017</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8号</w:t>
      </w:r>
      <w:r>
        <w:rPr>
          <w:rFonts w:hint="eastAsia" w:ascii="仿宋_GB2312" w:hAnsi="宋体" w:eastAsia="仿宋_GB2312" w:cs="仿宋_GB2312"/>
          <w:color w:val="auto"/>
          <w:sz w:val="32"/>
          <w:szCs w:val="32"/>
          <w:lang w:eastAsia="zh-CN"/>
        </w:rPr>
        <w:t>）、《福建省企业研发经费分段补助实施细则（修订）的通知》（闽科计〔</w:t>
      </w:r>
      <w:r>
        <w:rPr>
          <w:rFonts w:hint="eastAsia" w:ascii="仿宋_GB2312" w:hAnsi="宋体" w:eastAsia="仿宋_GB2312" w:cs="仿宋_GB2312"/>
          <w:color w:val="auto"/>
          <w:sz w:val="32"/>
          <w:szCs w:val="32"/>
          <w:lang w:val="en-US" w:eastAsia="zh-CN"/>
        </w:rPr>
        <w:t>2018</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14号</w:t>
      </w:r>
      <w:r>
        <w:rPr>
          <w:rFonts w:hint="eastAsia" w:ascii="仿宋_GB2312" w:hAnsi="宋体" w:eastAsia="仿宋_GB2312" w:cs="仿宋_GB2312"/>
          <w:color w:val="auto"/>
          <w:sz w:val="32"/>
          <w:szCs w:val="32"/>
          <w:lang w:eastAsia="zh-CN"/>
        </w:rPr>
        <w:t>）、《关于印发省级高新技术企业扶持办法的通知》（闽政办〔</w:t>
      </w:r>
      <w:r>
        <w:rPr>
          <w:rFonts w:hint="eastAsia" w:ascii="仿宋_GB2312" w:hAnsi="宋体" w:eastAsia="仿宋_GB2312" w:cs="仿宋_GB2312"/>
          <w:color w:val="auto"/>
          <w:sz w:val="32"/>
          <w:szCs w:val="32"/>
          <w:lang w:val="en-US" w:eastAsia="zh-CN"/>
        </w:rPr>
        <w:t>2017</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141号</w:t>
      </w:r>
      <w:r>
        <w:rPr>
          <w:rFonts w:hint="eastAsia" w:ascii="仿宋_GB2312" w:hAnsi="宋体" w:eastAsia="仿宋_GB2312" w:cs="仿宋_GB2312"/>
          <w:color w:val="auto"/>
          <w:sz w:val="32"/>
          <w:szCs w:val="32"/>
          <w:lang w:eastAsia="zh-CN"/>
        </w:rPr>
        <w:t>）、《关于鼓励社会资本建设和发展新型研发机构若干措施的通知》（闽政办〔</w:t>
      </w:r>
      <w:r>
        <w:rPr>
          <w:rFonts w:hint="eastAsia" w:ascii="仿宋_GB2312" w:hAnsi="宋体" w:eastAsia="仿宋_GB2312" w:cs="仿宋_GB2312"/>
          <w:color w:val="auto"/>
          <w:sz w:val="32"/>
          <w:szCs w:val="32"/>
          <w:lang w:val="en-US" w:eastAsia="zh-CN"/>
        </w:rPr>
        <w:t>2016</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145号</w:t>
      </w:r>
      <w:r>
        <w:rPr>
          <w:rFonts w:hint="eastAsia" w:ascii="仿宋_GB2312" w:hAnsi="宋体" w:eastAsia="仿宋_GB2312" w:cs="仿宋_GB2312"/>
          <w:color w:val="auto"/>
          <w:sz w:val="32"/>
          <w:szCs w:val="32"/>
          <w:lang w:eastAsia="zh-CN"/>
        </w:rPr>
        <w:t>）、中共三明市委人才工作领导小组印发《关于进一步加快人才聚集若干措施责任分工方案》的通知（明委人才〔</w:t>
      </w:r>
      <w:r>
        <w:rPr>
          <w:rFonts w:hint="eastAsia" w:ascii="仿宋_GB2312" w:hAnsi="宋体" w:eastAsia="仿宋_GB2312" w:cs="仿宋_GB2312"/>
          <w:color w:val="auto"/>
          <w:sz w:val="32"/>
          <w:szCs w:val="32"/>
          <w:lang w:val="en-US" w:eastAsia="zh-CN"/>
        </w:rPr>
        <w:t>2019</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3号</w:t>
      </w:r>
      <w:r>
        <w:rPr>
          <w:rFonts w:hint="eastAsia" w:ascii="仿宋_GB2312" w:hAnsi="宋体" w:eastAsia="仿宋_GB2312" w:cs="仿宋_GB2312"/>
          <w:color w:val="auto"/>
          <w:sz w:val="32"/>
          <w:szCs w:val="32"/>
          <w:lang w:eastAsia="zh-CN"/>
        </w:rPr>
        <w:t>）立项依据明确，得满分。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lang w:eastAsia="zh-CN"/>
        </w:rPr>
        <w:t>）立项程序的规范性方面的分值</w:t>
      </w:r>
      <w:r>
        <w:rPr>
          <w:rFonts w:hint="eastAsia" w:ascii="仿宋_GB2312" w:hAnsi="宋体" w:eastAsia="仿宋_GB2312" w:cs="仿宋_GB2312"/>
          <w:color w:val="auto"/>
          <w:sz w:val="32"/>
          <w:szCs w:val="32"/>
          <w:lang w:val="en-US" w:eastAsia="zh-CN"/>
        </w:rPr>
        <w:t>3分，得分3分。项目按照规定程序申请设立，审批的文件和材料均符合相关要求，并通过集体过会讨论，得满分。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ascii="仿宋_GB2312" w:hAnsi="宋体" w:eastAsia="仿宋_GB2312"/>
          <w:color w:val="auto"/>
          <w:sz w:val="32"/>
          <w:szCs w:val="32"/>
        </w:rPr>
      </w:pP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）绩效目标合理性</w:t>
      </w:r>
      <w:r>
        <w:rPr>
          <w:rFonts w:hint="eastAsia" w:ascii="仿宋_GB2312" w:hAnsi="宋体" w:eastAsia="仿宋_GB2312" w:cs="仿宋_GB2312"/>
          <w:color w:val="auto"/>
          <w:sz w:val="32"/>
          <w:szCs w:val="32"/>
          <w:lang w:eastAsia="zh-CN"/>
        </w:rPr>
        <w:t>方面的分值</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分</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得分</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分。项目绩效目标设置较为合理，能与项目实施单位职责及促进科技事业发展密切相关</w:t>
      </w:r>
      <w:r>
        <w:rPr>
          <w:rFonts w:hint="eastAsia" w:ascii="仿宋_GB2312" w:hAnsi="宋体" w:eastAsia="仿宋_GB2312" w:cs="仿宋_GB2312"/>
          <w:color w:val="auto"/>
          <w:sz w:val="32"/>
          <w:szCs w:val="32"/>
          <w:lang w:eastAsia="zh-CN"/>
        </w:rPr>
        <w:t>，得满分</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ascii="仿宋_GB2312" w:hAnsi="宋体" w:eastAsia="仿宋_GB2312"/>
          <w:color w:val="auto"/>
          <w:sz w:val="32"/>
          <w:szCs w:val="32"/>
        </w:rPr>
      </w:pP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）绩效指标明确性</w:t>
      </w:r>
      <w:r>
        <w:rPr>
          <w:rFonts w:hint="eastAsia" w:ascii="仿宋_GB2312" w:hAnsi="宋体" w:eastAsia="仿宋_GB2312" w:cs="仿宋_GB2312"/>
          <w:color w:val="auto"/>
          <w:sz w:val="32"/>
          <w:szCs w:val="32"/>
          <w:lang w:eastAsia="zh-CN"/>
        </w:rPr>
        <w:t>方面的分值</w:t>
      </w:r>
      <w:r>
        <w:rPr>
          <w:rFonts w:ascii="仿宋_GB2312" w:hAnsi="宋体" w:eastAsia="仿宋_GB2312" w:cs="仿宋_GB2312"/>
          <w:color w:val="auto"/>
          <w:sz w:val="32"/>
          <w:szCs w:val="32"/>
        </w:rPr>
        <w:t>3</w:t>
      </w:r>
      <w:r>
        <w:rPr>
          <w:rFonts w:hint="eastAsia" w:ascii="仿宋_GB2312" w:hAnsi="宋体" w:eastAsia="仿宋_GB2312" w:cs="仿宋_GB2312"/>
          <w:color w:val="auto"/>
          <w:sz w:val="32"/>
          <w:szCs w:val="32"/>
        </w:rPr>
        <w:t>分</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得分</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分。绩效指标与项目年度任务数或计划数相对应，能够通过清晰、可衡量的指标值予以</w:t>
      </w:r>
      <w:r>
        <w:rPr>
          <w:rFonts w:hint="eastAsia" w:ascii="仿宋_GB2312" w:hAnsi="宋体" w:eastAsia="仿宋_GB2312" w:cs="仿宋_GB2312"/>
          <w:color w:val="auto"/>
          <w:spacing w:val="-4"/>
          <w:sz w:val="32"/>
          <w:szCs w:val="32"/>
        </w:rPr>
        <w:t>体现，</w:t>
      </w:r>
      <w:r>
        <w:rPr>
          <w:rFonts w:hint="eastAsia" w:ascii="仿宋_GB2312" w:hAnsi="宋体" w:eastAsia="仿宋_GB2312" w:cs="仿宋_GB2312"/>
          <w:color w:val="auto"/>
          <w:spacing w:val="-4"/>
          <w:sz w:val="32"/>
          <w:szCs w:val="32"/>
          <w:lang w:eastAsia="zh-CN"/>
        </w:rPr>
        <w:t>与项目目标任务数或计划数相对应，得满分</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预算编制科学性方面的分值</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分</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得分</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分。</w:t>
      </w:r>
      <w:r>
        <w:rPr>
          <w:rFonts w:hint="eastAsia" w:ascii="仿宋_GB2312" w:hAnsi="宋体" w:eastAsia="仿宋_GB2312" w:cs="仿宋_GB2312"/>
          <w:color w:val="auto"/>
          <w:sz w:val="32"/>
          <w:szCs w:val="32"/>
          <w:lang w:eastAsia="zh-CN"/>
        </w:rPr>
        <w:t>预算内容与项目内容相匹配，预算额度根据标准编制，项目投资资金与工作内容相匹配，得满分。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6</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资金分配合理性方面的分值</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分</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得分</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分。</w:t>
      </w:r>
      <w:r>
        <w:rPr>
          <w:rFonts w:hint="eastAsia" w:ascii="仿宋_GB2312" w:hAnsi="宋体" w:eastAsia="仿宋_GB2312" w:cs="仿宋_GB2312"/>
          <w:color w:val="auto"/>
          <w:sz w:val="32"/>
          <w:szCs w:val="32"/>
          <w:lang w:eastAsia="zh-CN"/>
        </w:rPr>
        <w:t>资金分配依据及分配额度合理，</w:t>
      </w:r>
      <w:r>
        <w:rPr>
          <w:rFonts w:hint="eastAsia" w:ascii="仿宋_GB2312" w:hAnsi="宋体" w:eastAsia="仿宋_GB2312" w:cs="仿宋_GB2312"/>
          <w:color w:val="auto"/>
          <w:sz w:val="32"/>
          <w:szCs w:val="32"/>
          <w:lang w:val="en-US" w:eastAsia="zh-CN"/>
        </w:rPr>
        <w:t>得满分。</w:t>
      </w:r>
    </w:p>
    <w:p>
      <w:pPr>
        <w:keepNext w:val="0"/>
        <w:keepLines w:val="0"/>
        <w:pageBreakBefore w:val="0"/>
        <w:kinsoku/>
        <w:wordWrap/>
        <w:overflowPunct/>
        <w:topLinePunct w:val="0"/>
        <w:autoSpaceDE/>
        <w:autoSpaceDN/>
        <w:bidi w:val="0"/>
        <w:adjustRightInd/>
        <w:snapToGrid/>
        <w:spacing w:line="520" w:lineRule="exact"/>
        <w:ind w:firstLine="642" w:firstLineChars="200"/>
        <w:rPr>
          <w:rFonts w:ascii="仿宋_GB2312" w:hAnsi="宋体" w:eastAsia="仿宋_GB2312"/>
          <w:color w:val="auto"/>
          <w:kern w:val="0"/>
          <w:sz w:val="32"/>
          <w:szCs w:val="32"/>
        </w:rPr>
      </w:pPr>
      <w:r>
        <w:rPr>
          <w:rFonts w:ascii="仿宋_GB2312" w:hAnsi="宋体" w:eastAsia="仿宋_GB2312" w:cs="仿宋_GB2312"/>
          <w:b/>
          <w:bCs/>
          <w:color w:val="auto"/>
          <w:kern w:val="0"/>
          <w:sz w:val="32"/>
          <w:szCs w:val="32"/>
        </w:rPr>
        <w:t>2.</w:t>
      </w:r>
      <w:r>
        <w:rPr>
          <w:rFonts w:hint="eastAsia" w:ascii="仿宋_GB2312" w:hAnsi="宋体" w:eastAsia="仿宋_GB2312" w:cs="仿宋_GB2312"/>
          <w:b/>
          <w:bCs/>
          <w:color w:val="auto"/>
          <w:kern w:val="0"/>
          <w:sz w:val="32"/>
          <w:szCs w:val="32"/>
        </w:rPr>
        <w:t>项目过程评价指标满分</w:t>
      </w:r>
      <w:r>
        <w:rPr>
          <w:rFonts w:hint="eastAsia" w:ascii="仿宋_GB2312" w:hAnsi="宋体" w:eastAsia="仿宋_GB2312" w:cs="仿宋_GB2312"/>
          <w:b/>
          <w:bCs/>
          <w:color w:val="auto"/>
          <w:kern w:val="0"/>
          <w:sz w:val="32"/>
          <w:szCs w:val="32"/>
          <w:lang w:val="en-US" w:eastAsia="zh-CN"/>
        </w:rPr>
        <w:t>18</w:t>
      </w:r>
      <w:r>
        <w:rPr>
          <w:rFonts w:hint="eastAsia" w:ascii="仿宋_GB2312" w:hAnsi="宋体" w:eastAsia="仿宋_GB2312" w:cs="仿宋_GB2312"/>
          <w:b/>
          <w:bCs/>
          <w:color w:val="auto"/>
          <w:kern w:val="0"/>
          <w:sz w:val="32"/>
          <w:szCs w:val="32"/>
        </w:rPr>
        <w:t>分，评价</w:t>
      </w:r>
      <w:r>
        <w:rPr>
          <w:rFonts w:ascii="仿宋_GB2312" w:hAnsi="宋体" w:eastAsia="仿宋_GB2312" w:cs="仿宋_GB2312"/>
          <w:b/>
          <w:bCs/>
          <w:color w:val="auto"/>
          <w:kern w:val="0"/>
          <w:sz w:val="32"/>
          <w:szCs w:val="32"/>
        </w:rPr>
        <w:t>1</w:t>
      </w:r>
      <w:r>
        <w:rPr>
          <w:rFonts w:hint="eastAsia" w:ascii="仿宋_GB2312" w:hAnsi="宋体" w:eastAsia="仿宋_GB2312" w:cs="仿宋_GB2312"/>
          <w:b/>
          <w:bCs/>
          <w:color w:val="auto"/>
          <w:kern w:val="0"/>
          <w:sz w:val="32"/>
          <w:szCs w:val="32"/>
          <w:lang w:val="en-US" w:eastAsia="zh-CN"/>
        </w:rPr>
        <w:t>5</w:t>
      </w:r>
      <w:r>
        <w:rPr>
          <w:rFonts w:hint="eastAsia" w:ascii="仿宋_GB2312" w:hAnsi="宋体" w:eastAsia="仿宋_GB2312" w:cs="仿宋_GB2312"/>
          <w:b/>
          <w:bCs/>
          <w:color w:val="auto"/>
          <w:kern w:val="0"/>
          <w:sz w:val="32"/>
          <w:szCs w:val="32"/>
        </w:rPr>
        <w:t>分。</w:t>
      </w:r>
      <w:r>
        <w:rPr>
          <w:rFonts w:hint="eastAsia" w:ascii="仿宋_GB2312" w:hAnsi="宋体" w:eastAsia="仿宋_GB2312" w:cs="仿宋_GB2312"/>
          <w:color w:val="auto"/>
          <w:kern w:val="0"/>
          <w:sz w:val="32"/>
          <w:szCs w:val="32"/>
        </w:rPr>
        <w:t>其中：</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eastAsia="zh-CN"/>
        </w:rPr>
        <w:t>（</w:t>
      </w:r>
      <w:r>
        <w:rPr>
          <w:rFonts w:hint="eastAsia" w:ascii="仿宋_GB2312" w:hAnsi="宋体" w:eastAsia="仿宋_GB2312" w:cs="仿宋_GB2312"/>
          <w:color w:val="auto"/>
          <w:kern w:val="0"/>
          <w:sz w:val="32"/>
          <w:szCs w:val="32"/>
          <w:lang w:val="en-US" w:eastAsia="zh-CN"/>
        </w:rPr>
        <w:t>1</w:t>
      </w:r>
      <w:r>
        <w:rPr>
          <w:rFonts w:hint="eastAsia" w:ascii="仿宋_GB2312" w:hAnsi="宋体" w:eastAsia="仿宋_GB2312" w:cs="仿宋_GB2312"/>
          <w:color w:val="auto"/>
          <w:kern w:val="0"/>
          <w:sz w:val="32"/>
          <w:szCs w:val="32"/>
          <w:lang w:eastAsia="zh-CN"/>
        </w:rPr>
        <w:t>）资金到位率的分值</w:t>
      </w:r>
      <w:r>
        <w:rPr>
          <w:rFonts w:hint="eastAsia" w:ascii="仿宋_GB2312" w:hAnsi="宋体" w:eastAsia="仿宋_GB2312" w:cs="仿宋_GB2312"/>
          <w:color w:val="auto"/>
          <w:kern w:val="0"/>
          <w:sz w:val="32"/>
          <w:szCs w:val="32"/>
          <w:lang w:val="en-US" w:eastAsia="zh-CN"/>
        </w:rPr>
        <w:t>3分，得分3分。全年预算数600万元，实际到位资金</w:t>
      </w:r>
      <w:r>
        <w:rPr>
          <w:rFonts w:hint="eastAsia" w:ascii="仿宋" w:hAnsi="仿宋" w:eastAsia="仿宋" w:cs="仿宋"/>
          <w:color w:val="auto"/>
          <w:kern w:val="0"/>
          <w:sz w:val="32"/>
          <w:szCs w:val="32"/>
          <w:lang w:val="en-US" w:eastAsia="zh-CN"/>
        </w:rPr>
        <w:t>1,297.41</w:t>
      </w:r>
      <w:r>
        <w:rPr>
          <w:rFonts w:hint="eastAsia" w:ascii="仿宋_GB2312" w:hAnsi="宋体" w:eastAsia="仿宋_GB2312" w:cs="仿宋_GB2312"/>
          <w:color w:val="auto"/>
          <w:kern w:val="0"/>
          <w:sz w:val="32"/>
          <w:szCs w:val="32"/>
          <w:lang w:val="en-US" w:eastAsia="zh-CN"/>
        </w:rPr>
        <w:t>万元，资金到位率216.24%，得满分。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val="en-US" w:eastAsia="zh-CN"/>
        </w:rPr>
        <w:t>（2）预算执行率的分值3分，得分3分。实际执行的资金</w:t>
      </w:r>
      <w:r>
        <w:rPr>
          <w:rFonts w:hint="eastAsia" w:ascii="仿宋" w:hAnsi="仿宋" w:eastAsia="仿宋" w:cs="仿宋"/>
          <w:color w:val="auto"/>
          <w:kern w:val="0"/>
          <w:sz w:val="32"/>
          <w:szCs w:val="32"/>
          <w:lang w:val="en-US" w:eastAsia="zh-CN"/>
        </w:rPr>
        <w:t>1,297.41</w:t>
      </w:r>
      <w:r>
        <w:rPr>
          <w:rFonts w:hint="eastAsia" w:ascii="仿宋_GB2312" w:hAnsi="宋体" w:eastAsia="仿宋_GB2312" w:cs="仿宋_GB2312"/>
          <w:color w:val="auto"/>
          <w:kern w:val="0"/>
          <w:sz w:val="32"/>
          <w:szCs w:val="32"/>
          <w:lang w:val="en-US" w:eastAsia="zh-CN"/>
        </w:rPr>
        <w:t>万元，实际到位资金</w:t>
      </w:r>
      <w:r>
        <w:rPr>
          <w:rFonts w:hint="eastAsia" w:ascii="仿宋" w:hAnsi="仿宋" w:eastAsia="仿宋" w:cs="仿宋"/>
          <w:color w:val="auto"/>
          <w:kern w:val="0"/>
          <w:sz w:val="32"/>
          <w:szCs w:val="32"/>
          <w:lang w:val="en-US" w:eastAsia="zh-CN"/>
        </w:rPr>
        <w:t>1,297.41</w:t>
      </w:r>
      <w:r>
        <w:rPr>
          <w:rFonts w:hint="eastAsia" w:ascii="仿宋_GB2312" w:hAnsi="宋体" w:eastAsia="仿宋_GB2312" w:cs="仿宋_GB2312"/>
          <w:color w:val="auto"/>
          <w:kern w:val="0"/>
          <w:sz w:val="32"/>
          <w:szCs w:val="32"/>
          <w:lang w:val="en-US" w:eastAsia="zh-CN"/>
        </w:rPr>
        <w:t>万元，预算执行率100%，得满分。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val="en-US" w:eastAsia="zh-CN"/>
        </w:rPr>
        <w:t>3</w:t>
      </w: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eastAsia="zh-CN"/>
        </w:rPr>
        <w:t>资金使用的合规性方面的分值</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分，得分</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分。资金拨付有完整审批程序和手续，符合项目预算批复或项目管理办法规定的用途，未发现超标准支出、截留、挤占、挪用、虚列支出等情况，且项目结算手续完备</w:t>
      </w:r>
      <w:r>
        <w:rPr>
          <w:rFonts w:hint="eastAsia" w:ascii="仿宋_GB2312" w:hAnsi="宋体" w:eastAsia="仿宋_GB2312" w:cs="仿宋_GB2312"/>
          <w:color w:val="auto"/>
          <w:kern w:val="0"/>
          <w:sz w:val="32"/>
          <w:szCs w:val="32"/>
          <w:lang w:eastAsia="zh-CN"/>
        </w:rPr>
        <w:t>，得满分</w:t>
      </w:r>
      <w:r>
        <w:rPr>
          <w:rFonts w:hint="eastAsia" w:ascii="仿宋_GB2312" w:hAnsi="宋体" w:eastAsia="仿宋_GB2312" w:cs="仿宋_GB2312"/>
          <w:color w:val="auto"/>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_GB2312" w:hAnsi="宋体" w:eastAsia="仿宋_GB2312" w:cs="仿宋_GB2312"/>
          <w:color w:val="auto"/>
          <w:kern w:val="0"/>
          <w:sz w:val="32"/>
          <w:szCs w:val="32"/>
          <w:lang w:eastAsia="zh-CN"/>
        </w:rPr>
      </w:pP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）财务管理制度健全性</w:t>
      </w:r>
      <w:r>
        <w:rPr>
          <w:rFonts w:hint="eastAsia" w:ascii="仿宋_GB2312" w:hAnsi="宋体" w:eastAsia="仿宋_GB2312" w:cs="仿宋_GB2312"/>
          <w:color w:val="auto"/>
          <w:kern w:val="0"/>
          <w:sz w:val="32"/>
          <w:szCs w:val="32"/>
          <w:lang w:eastAsia="zh-CN"/>
        </w:rPr>
        <w:t>方面的分值</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分，得分</w:t>
      </w:r>
      <w:r>
        <w:rPr>
          <w:rFonts w:hint="eastAsia" w:ascii="仿宋_GB2312" w:hAnsi="宋体" w:eastAsia="仿宋_GB2312" w:cs="仿宋_GB2312"/>
          <w:color w:val="auto"/>
          <w:kern w:val="0"/>
          <w:sz w:val="32"/>
          <w:szCs w:val="32"/>
          <w:lang w:val="en-US" w:eastAsia="zh-CN"/>
        </w:rPr>
        <w:t>1</w:t>
      </w:r>
      <w:r>
        <w:rPr>
          <w:rFonts w:hint="eastAsia" w:ascii="仿宋_GB2312" w:hAnsi="宋体" w:eastAsia="仿宋_GB2312" w:cs="仿宋_GB2312"/>
          <w:color w:val="auto"/>
          <w:kern w:val="0"/>
          <w:sz w:val="32"/>
          <w:szCs w:val="32"/>
        </w:rPr>
        <w:t>分。</w:t>
      </w:r>
      <w:r>
        <w:rPr>
          <w:rFonts w:hint="eastAsia" w:ascii="仿宋_GB2312" w:hAnsi="宋体" w:eastAsia="仿宋_GB2312" w:cs="仿宋_GB2312"/>
          <w:color w:val="auto"/>
          <w:kern w:val="0"/>
          <w:sz w:val="32"/>
          <w:szCs w:val="32"/>
          <w:lang w:eastAsia="zh-CN"/>
        </w:rPr>
        <w:t>参照省政府制定的管理制定，未设置三明市科学技术局专有的资金管理办法，扣</w:t>
      </w:r>
      <w:r>
        <w:rPr>
          <w:rFonts w:hint="eastAsia" w:ascii="仿宋_GB2312" w:hAnsi="宋体" w:eastAsia="仿宋_GB2312" w:cs="仿宋_GB2312"/>
          <w:color w:val="auto"/>
          <w:kern w:val="0"/>
          <w:sz w:val="32"/>
          <w:szCs w:val="32"/>
          <w:lang w:val="en-US" w:eastAsia="zh-CN"/>
        </w:rPr>
        <w:t>3分</w:t>
      </w:r>
      <w:r>
        <w:rPr>
          <w:rFonts w:hint="eastAsia" w:ascii="仿宋_GB2312" w:hAnsi="宋体" w:eastAsia="仿宋_GB2312" w:cs="仿宋_GB2312"/>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ascii="仿宋_GB2312" w:hAnsi="宋体" w:eastAsia="仿宋_GB2312"/>
          <w:color w:val="auto"/>
          <w:kern w:val="0"/>
          <w:sz w:val="32"/>
          <w:szCs w:val="32"/>
        </w:rPr>
      </w:pPr>
      <w:r>
        <w:rPr>
          <w:rFonts w:hint="eastAsia" w:ascii="仿宋_GB2312" w:hAnsi="宋体" w:eastAsia="仿宋_GB2312" w:cs="仿宋_GB2312"/>
          <w:color w:val="auto"/>
          <w:kern w:val="0"/>
          <w:sz w:val="32"/>
          <w:szCs w:val="32"/>
        </w:rPr>
        <w:t>（</w:t>
      </w:r>
      <w:r>
        <w:rPr>
          <w:rFonts w:ascii="仿宋_GB2312" w:hAnsi="宋体" w:eastAsia="仿宋_GB2312" w:cs="仿宋_GB2312"/>
          <w:color w:val="auto"/>
          <w:kern w:val="0"/>
          <w:sz w:val="32"/>
          <w:szCs w:val="32"/>
        </w:rPr>
        <w:t>5</w:t>
      </w:r>
      <w:r>
        <w:rPr>
          <w:rFonts w:hint="eastAsia" w:ascii="仿宋_GB2312" w:hAnsi="宋体" w:eastAsia="仿宋_GB2312" w:cs="仿宋_GB2312"/>
          <w:color w:val="auto"/>
          <w:kern w:val="0"/>
          <w:sz w:val="32"/>
          <w:szCs w:val="32"/>
        </w:rPr>
        <w:t>）</w:t>
      </w:r>
      <w:r>
        <w:rPr>
          <w:rFonts w:hint="eastAsia" w:ascii="仿宋_GB2312" w:hAnsi="宋体" w:eastAsia="仿宋_GB2312" w:cs="仿宋_GB2312"/>
          <w:color w:val="auto"/>
          <w:kern w:val="0"/>
          <w:sz w:val="32"/>
          <w:szCs w:val="32"/>
          <w:lang w:eastAsia="zh-CN"/>
        </w:rPr>
        <w:t>制度执行的有效性方面的分值</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分，得分</w:t>
      </w:r>
      <w:r>
        <w:rPr>
          <w:rFonts w:hint="eastAsia" w:ascii="仿宋_GB2312" w:hAnsi="宋体" w:eastAsia="仿宋_GB2312" w:cs="仿宋_GB2312"/>
          <w:color w:val="auto"/>
          <w:kern w:val="0"/>
          <w:sz w:val="32"/>
          <w:szCs w:val="32"/>
          <w:lang w:val="en-US" w:eastAsia="zh-CN"/>
        </w:rPr>
        <w:t>4</w:t>
      </w:r>
      <w:r>
        <w:rPr>
          <w:rFonts w:hint="eastAsia" w:ascii="仿宋_GB2312" w:hAnsi="宋体" w:eastAsia="仿宋_GB2312" w:cs="仿宋_GB2312"/>
          <w:color w:val="auto"/>
          <w:kern w:val="0"/>
          <w:sz w:val="32"/>
          <w:szCs w:val="32"/>
        </w:rPr>
        <w:t>分。</w:t>
      </w:r>
      <w:r>
        <w:rPr>
          <w:rFonts w:hint="eastAsia" w:ascii="仿宋_GB2312" w:hAnsi="宋体" w:eastAsia="仿宋_GB2312" w:cs="仿宋_GB2312"/>
          <w:color w:val="auto"/>
          <w:kern w:val="0"/>
          <w:sz w:val="32"/>
          <w:szCs w:val="32"/>
          <w:lang w:val="en-US" w:eastAsia="zh-CN"/>
        </w:rPr>
        <w:t>2020年8月21日</w:t>
      </w:r>
      <w:r>
        <w:rPr>
          <w:rFonts w:hint="eastAsia" w:ascii="仿宋_GB2312" w:hAnsi="宋体" w:eastAsia="仿宋_GB2312" w:cs="仿宋_GB2312"/>
          <w:color w:val="auto"/>
          <w:sz w:val="32"/>
          <w:szCs w:val="32"/>
          <w:lang w:eastAsia="zh-CN"/>
        </w:rPr>
        <w:t>成立预算绩效评价工作领导小组，领导小组下设办公室，负责牵头组织协调财政资金绩效管理和评价工作</w:t>
      </w:r>
      <w:r>
        <w:rPr>
          <w:rFonts w:hint="eastAsia" w:ascii="仿宋_GB2312" w:hAnsi="宋体" w:eastAsia="仿宋_GB2312" w:cs="仿宋_GB2312"/>
          <w:color w:val="auto"/>
          <w:sz w:val="32"/>
          <w:szCs w:val="32"/>
          <w:lang w:val="en-US" w:eastAsia="zh-CN"/>
        </w:rPr>
        <w:t>，分工明确，得满分</w:t>
      </w:r>
      <w:r>
        <w:rPr>
          <w:rFonts w:hint="eastAsia" w:ascii="仿宋_GB2312" w:hAnsi="宋体"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firstLine="642" w:firstLineChars="200"/>
        <w:rPr>
          <w:rFonts w:ascii="仿宋_GB2312" w:hAnsi="宋体" w:eastAsia="仿宋_GB2312"/>
          <w:color w:val="auto"/>
          <w:kern w:val="0"/>
          <w:sz w:val="32"/>
          <w:szCs w:val="32"/>
        </w:rPr>
      </w:pPr>
      <w:r>
        <w:rPr>
          <w:rFonts w:ascii="仿宋_GB2312" w:hAnsi="宋体" w:eastAsia="仿宋_GB2312" w:cs="仿宋_GB2312"/>
          <w:b/>
          <w:bCs/>
          <w:color w:val="auto"/>
          <w:kern w:val="0"/>
          <w:sz w:val="32"/>
          <w:szCs w:val="32"/>
        </w:rPr>
        <w:t>3.</w:t>
      </w:r>
      <w:r>
        <w:rPr>
          <w:rFonts w:hint="eastAsia" w:ascii="仿宋_GB2312" w:hAnsi="宋体" w:eastAsia="仿宋_GB2312" w:cs="仿宋_GB2312"/>
          <w:b/>
          <w:bCs/>
          <w:color w:val="auto"/>
          <w:kern w:val="0"/>
          <w:sz w:val="32"/>
          <w:szCs w:val="32"/>
        </w:rPr>
        <w:t>产出评价指标满分</w:t>
      </w:r>
      <w:r>
        <w:rPr>
          <w:rFonts w:hint="eastAsia" w:ascii="仿宋_GB2312" w:hAnsi="宋体" w:eastAsia="仿宋_GB2312" w:cs="仿宋_GB2312"/>
          <w:b/>
          <w:bCs/>
          <w:color w:val="auto"/>
          <w:kern w:val="0"/>
          <w:sz w:val="32"/>
          <w:szCs w:val="32"/>
          <w:lang w:val="en-US" w:eastAsia="zh-CN"/>
        </w:rPr>
        <w:t>26</w:t>
      </w:r>
      <w:r>
        <w:rPr>
          <w:rFonts w:hint="eastAsia" w:ascii="仿宋_GB2312" w:hAnsi="宋体" w:eastAsia="仿宋_GB2312" w:cs="仿宋_GB2312"/>
          <w:b/>
          <w:bCs/>
          <w:color w:val="auto"/>
          <w:kern w:val="0"/>
          <w:sz w:val="32"/>
          <w:szCs w:val="32"/>
        </w:rPr>
        <w:t>分，评价得分</w:t>
      </w:r>
      <w:r>
        <w:rPr>
          <w:rFonts w:hint="eastAsia" w:ascii="仿宋_GB2312" w:hAnsi="宋体" w:eastAsia="仿宋_GB2312" w:cs="仿宋_GB2312"/>
          <w:b/>
          <w:bCs/>
          <w:color w:val="auto"/>
          <w:kern w:val="0"/>
          <w:sz w:val="32"/>
          <w:szCs w:val="32"/>
          <w:lang w:val="en-US" w:eastAsia="zh-CN"/>
        </w:rPr>
        <w:t>23</w:t>
      </w:r>
      <w:r>
        <w:rPr>
          <w:rFonts w:hint="eastAsia" w:ascii="仿宋_GB2312" w:hAnsi="宋体" w:eastAsia="仿宋_GB2312" w:cs="仿宋_GB2312"/>
          <w:b/>
          <w:bCs/>
          <w:color w:val="auto"/>
          <w:kern w:val="0"/>
          <w:sz w:val="32"/>
          <w:szCs w:val="32"/>
        </w:rPr>
        <w:t>分。</w:t>
      </w:r>
      <w:r>
        <w:rPr>
          <w:rFonts w:hint="eastAsia" w:ascii="仿宋_GB2312" w:hAnsi="宋体" w:eastAsia="仿宋_GB2312" w:cs="仿宋_GB2312"/>
          <w:color w:val="auto"/>
          <w:kern w:val="0"/>
          <w:sz w:val="32"/>
          <w:szCs w:val="32"/>
        </w:rPr>
        <w:t>其中：</w:t>
      </w:r>
    </w:p>
    <w:p>
      <w:pPr>
        <w:pStyle w:val="2"/>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（1）</w:t>
      </w:r>
      <w:r>
        <w:rPr>
          <w:rFonts w:hint="eastAsia" w:ascii="仿宋" w:hAnsi="仿宋" w:eastAsia="仿宋" w:cs="仿宋"/>
          <w:color w:val="auto"/>
          <w:kern w:val="0"/>
          <w:sz w:val="32"/>
          <w:szCs w:val="32"/>
          <w:lang w:eastAsia="zh-CN"/>
        </w:rPr>
        <w:t>奖励新增入库省级高新技术企业数量的分值</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36家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38家，得满分</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自2018年开展省级高新技术企业入库备案以来，三明市省高出库率分别为65.1%和66.7%，2018年和2019年共出库54家。三明市国高重新认定比例逐年提高，2018年和2019年，重新认定比例分别为41.2%、52.6%。</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（2）</w:t>
      </w:r>
      <w:r>
        <w:rPr>
          <w:rFonts w:hint="eastAsia" w:ascii="仿宋" w:hAnsi="仿宋" w:eastAsia="仿宋" w:cs="仿宋"/>
          <w:color w:val="auto"/>
          <w:kern w:val="0"/>
          <w:sz w:val="32"/>
          <w:szCs w:val="32"/>
          <w:lang w:eastAsia="zh-CN"/>
        </w:rPr>
        <w:t>奖励出库国家高新技术企业数量的分值</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25家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26家，得满分</w:t>
      </w:r>
      <w:r>
        <w:rPr>
          <w:rFonts w:hint="eastAsia" w:ascii="仿宋" w:hAnsi="仿宋" w:eastAsia="仿宋" w:cs="仿宋"/>
          <w:color w:val="auto"/>
          <w:kern w:val="0"/>
          <w:sz w:val="32"/>
          <w:szCs w:val="32"/>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（3）</w:t>
      </w:r>
      <w:r>
        <w:rPr>
          <w:rFonts w:hint="eastAsia" w:ascii="仿宋" w:hAnsi="仿宋" w:eastAsia="仿宋" w:cs="仿宋"/>
          <w:color w:val="auto"/>
          <w:kern w:val="0"/>
          <w:sz w:val="32"/>
          <w:szCs w:val="32"/>
          <w:lang w:eastAsia="zh-CN"/>
        </w:rPr>
        <w:t>新增国家备案众创空间数量的分值</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1家。2019年永安市创世纪信息科技有限公司运营的众星云集·创客坊，得满分。</w:t>
      </w:r>
    </w:p>
    <w:p>
      <w:pPr>
        <w:pStyle w:val="2"/>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rPr>
        <w:t>（4）</w:t>
      </w:r>
      <w:r>
        <w:rPr>
          <w:rFonts w:hint="eastAsia" w:ascii="仿宋" w:hAnsi="仿宋" w:eastAsia="仿宋" w:cs="仿宋"/>
          <w:color w:val="auto"/>
          <w:kern w:val="0"/>
          <w:sz w:val="32"/>
          <w:szCs w:val="32"/>
          <w:lang w:eastAsia="zh-CN"/>
        </w:rPr>
        <w:t>新增认定省级科技企业孵化器数量的分值</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0</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0家，不得分。</w:t>
      </w:r>
      <w:r>
        <w:rPr>
          <w:rFonts w:hint="eastAsia" w:ascii="仿宋_GB2312" w:hAnsi="宋体" w:eastAsia="仿宋_GB2312" w:cs="仿宋_GB2312"/>
          <w:color w:val="auto"/>
          <w:kern w:val="2"/>
          <w:sz w:val="32"/>
          <w:szCs w:val="32"/>
          <w:highlight w:val="none"/>
          <w:lang w:val="en-US" w:eastAsia="zh-CN" w:bidi="ar-SA"/>
        </w:rPr>
        <w:t>三明市科技局有开展科技企业孵化器培育前期工作，但因疫情影响，2020年度省科技厅未开展科技企业孵化器评估</w:t>
      </w:r>
      <w:r>
        <w:rPr>
          <w:rFonts w:hint="eastAsia" w:ascii="仿宋" w:hAnsi="仿宋" w:eastAsia="仿宋" w:cs="仿宋"/>
          <w:color w:val="auto"/>
          <w:kern w:val="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lang w:eastAsia="zh-CN"/>
        </w:rPr>
      </w:pPr>
      <w:r>
        <w:rPr>
          <w:rFonts w:hint="eastAsia" w:ascii="仿宋" w:hAnsi="仿宋" w:eastAsia="仿宋" w:cs="仿宋"/>
          <w:color w:val="auto"/>
          <w:kern w:val="0"/>
          <w:sz w:val="32"/>
          <w:szCs w:val="32"/>
        </w:rPr>
        <w:t>（5）</w:t>
      </w:r>
      <w:r>
        <w:rPr>
          <w:rFonts w:hint="eastAsia" w:ascii="仿宋" w:hAnsi="仿宋" w:eastAsia="仿宋" w:cs="仿宋"/>
          <w:color w:val="auto"/>
          <w:kern w:val="0"/>
          <w:sz w:val="32"/>
          <w:szCs w:val="32"/>
          <w:lang w:eastAsia="zh-CN"/>
        </w:rPr>
        <w:t>三明市有效省级高新技术企业数量的分值</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80家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81家，</w:t>
      </w:r>
      <w:r>
        <w:rPr>
          <w:rFonts w:hint="eastAsia" w:ascii="仿宋" w:hAnsi="仿宋" w:eastAsia="仿宋" w:cs="仿宋"/>
          <w:color w:val="auto"/>
          <w:kern w:val="0"/>
          <w:sz w:val="32"/>
          <w:szCs w:val="32"/>
          <w:lang w:eastAsia="zh-CN"/>
        </w:rPr>
        <w:t>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（6）</w:t>
      </w:r>
      <w:r>
        <w:rPr>
          <w:rFonts w:hint="eastAsia" w:ascii="仿宋" w:hAnsi="仿宋" w:eastAsia="仿宋" w:cs="仿宋"/>
          <w:color w:val="auto"/>
          <w:kern w:val="0"/>
          <w:sz w:val="32"/>
          <w:szCs w:val="32"/>
          <w:lang w:eastAsia="zh-CN"/>
        </w:rPr>
        <w:t>三明市有效国家高新技术企业数量的分值</w:t>
      </w:r>
      <w:r>
        <w:rPr>
          <w:rFonts w:hint="eastAsia" w:ascii="仿宋" w:hAnsi="仿宋" w:eastAsia="仿宋" w:cs="仿宋"/>
          <w:color w:val="auto"/>
          <w:kern w:val="0"/>
          <w:sz w:val="32"/>
          <w:szCs w:val="32"/>
        </w:rPr>
        <w:t>4分，得分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115家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118家，得满分</w:t>
      </w:r>
      <w:r>
        <w:rPr>
          <w:rFonts w:hint="eastAsia" w:ascii="仿宋" w:hAnsi="仿宋" w:eastAsia="仿宋" w:cs="仿宋"/>
          <w:color w:val="auto"/>
          <w:kern w:val="0"/>
          <w:sz w:val="32"/>
          <w:szCs w:val="32"/>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7</w:t>
      </w:r>
      <w:r>
        <w:rPr>
          <w:rFonts w:hint="eastAsia" w:ascii="仿宋" w:hAnsi="仿宋" w:eastAsia="仿宋" w:cs="仿宋"/>
          <w:color w:val="auto"/>
          <w:kern w:val="0"/>
          <w:sz w:val="32"/>
          <w:szCs w:val="32"/>
          <w:lang w:eastAsia="zh-CN"/>
        </w:rPr>
        <w:t>）三明市经认定省级新型研发机构数量的分值</w:t>
      </w:r>
      <w:r>
        <w:rPr>
          <w:rFonts w:hint="eastAsia" w:ascii="仿宋" w:hAnsi="仿宋" w:eastAsia="仿宋" w:cs="仿宋"/>
          <w:color w:val="auto"/>
          <w:kern w:val="0"/>
          <w:sz w:val="32"/>
          <w:szCs w:val="32"/>
          <w:lang w:val="en-US" w:eastAsia="zh-CN"/>
        </w:rPr>
        <w:t>4分，得分4分。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8家</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9家，得满分。</w:t>
      </w:r>
    </w:p>
    <w:p>
      <w:pPr>
        <w:keepNext w:val="0"/>
        <w:keepLines w:val="0"/>
        <w:pageBreakBefore w:val="0"/>
        <w:kinsoku/>
        <w:wordWrap/>
        <w:overflowPunct/>
        <w:topLinePunct w:val="0"/>
        <w:autoSpaceDE/>
        <w:autoSpaceDN/>
        <w:bidi w:val="0"/>
        <w:adjustRightInd/>
        <w:snapToGrid/>
        <w:spacing w:line="520" w:lineRule="exact"/>
        <w:ind w:firstLine="481" w:firstLineChars="150"/>
        <w:rPr>
          <w:rFonts w:ascii="仿宋_GB2312" w:hAnsi="宋体" w:eastAsia="仿宋_GB2312"/>
          <w:color w:val="auto"/>
          <w:kern w:val="0"/>
          <w:sz w:val="32"/>
          <w:szCs w:val="32"/>
        </w:rPr>
      </w:pPr>
      <w:r>
        <w:rPr>
          <w:rFonts w:ascii="仿宋_GB2312" w:hAnsi="宋体" w:eastAsia="仿宋_GB2312" w:cs="仿宋_GB2312"/>
          <w:b/>
          <w:bCs/>
          <w:color w:val="auto"/>
          <w:kern w:val="0"/>
          <w:sz w:val="32"/>
          <w:szCs w:val="32"/>
        </w:rPr>
        <w:t>4.</w:t>
      </w:r>
      <w:r>
        <w:rPr>
          <w:rFonts w:hint="eastAsia" w:ascii="仿宋_GB2312" w:hAnsi="宋体" w:eastAsia="仿宋_GB2312" w:cs="仿宋_GB2312"/>
          <w:b/>
          <w:bCs/>
          <w:color w:val="auto"/>
          <w:kern w:val="0"/>
          <w:sz w:val="32"/>
          <w:szCs w:val="32"/>
        </w:rPr>
        <w:t>效益评价指标满分</w:t>
      </w:r>
      <w:r>
        <w:rPr>
          <w:rFonts w:hint="eastAsia" w:ascii="仿宋_GB2312" w:hAnsi="宋体" w:eastAsia="仿宋_GB2312" w:cs="仿宋_GB2312"/>
          <w:b/>
          <w:bCs/>
          <w:color w:val="auto"/>
          <w:kern w:val="0"/>
          <w:sz w:val="32"/>
          <w:szCs w:val="32"/>
          <w:lang w:val="en-US" w:eastAsia="zh-CN"/>
        </w:rPr>
        <w:t>34</w:t>
      </w:r>
      <w:r>
        <w:rPr>
          <w:rFonts w:hint="eastAsia" w:ascii="仿宋_GB2312" w:hAnsi="宋体" w:eastAsia="仿宋_GB2312" w:cs="仿宋_GB2312"/>
          <w:b/>
          <w:bCs/>
          <w:color w:val="auto"/>
          <w:kern w:val="0"/>
          <w:sz w:val="32"/>
          <w:szCs w:val="32"/>
        </w:rPr>
        <w:t>分，评价得分</w:t>
      </w:r>
      <w:r>
        <w:rPr>
          <w:rFonts w:hint="eastAsia" w:ascii="仿宋_GB2312" w:hAnsi="宋体" w:eastAsia="仿宋_GB2312" w:cs="仿宋_GB2312"/>
          <w:b/>
          <w:bCs/>
          <w:color w:val="auto"/>
          <w:kern w:val="0"/>
          <w:sz w:val="32"/>
          <w:szCs w:val="32"/>
          <w:lang w:val="en-US" w:eastAsia="zh-CN"/>
        </w:rPr>
        <w:t>22</w:t>
      </w:r>
      <w:r>
        <w:rPr>
          <w:rFonts w:hint="eastAsia" w:ascii="仿宋_GB2312" w:hAnsi="宋体" w:eastAsia="仿宋_GB2312" w:cs="仿宋_GB2312"/>
          <w:b/>
          <w:bCs/>
          <w:color w:val="auto"/>
          <w:kern w:val="0"/>
          <w:sz w:val="32"/>
          <w:szCs w:val="32"/>
        </w:rPr>
        <w:t>分。</w:t>
      </w:r>
      <w:r>
        <w:rPr>
          <w:rFonts w:hint="eastAsia" w:ascii="仿宋_GB2312" w:hAnsi="宋体" w:eastAsia="仿宋_GB2312" w:cs="仿宋_GB2312"/>
          <w:color w:val="auto"/>
          <w:kern w:val="0"/>
          <w:sz w:val="32"/>
          <w:szCs w:val="32"/>
        </w:rPr>
        <w:t>其中：</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（1）实现企业研发费用税前加计扣除额（错年值）</w:t>
      </w:r>
      <w:r>
        <w:rPr>
          <w:rFonts w:hint="eastAsia" w:ascii="仿宋" w:hAnsi="仿宋" w:eastAsia="仿宋" w:cs="仿宋"/>
          <w:color w:val="auto"/>
          <w:kern w:val="0"/>
          <w:sz w:val="32"/>
          <w:szCs w:val="32"/>
          <w:lang w:eastAsia="zh-CN"/>
        </w:rPr>
        <w:t>的分值</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4.50亿元</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4.69亿元，得满分。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rPr>
        <w:t>（2）高新技术企业销售收入增长率</w:t>
      </w:r>
      <w:r>
        <w:rPr>
          <w:rFonts w:hint="eastAsia" w:ascii="仿宋" w:hAnsi="仿宋" w:eastAsia="仿宋" w:cs="仿宋"/>
          <w:color w:val="auto"/>
          <w:kern w:val="0"/>
          <w:sz w:val="32"/>
          <w:szCs w:val="32"/>
          <w:lang w:eastAsia="zh-CN"/>
        </w:rPr>
        <w:t>的分值</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0</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20%</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-13.44%，</w:t>
      </w:r>
      <w:r>
        <w:rPr>
          <w:rFonts w:hint="eastAsia" w:ascii="仿宋" w:hAnsi="仿宋" w:eastAsia="仿宋" w:cs="仿宋"/>
          <w:color w:val="auto"/>
          <w:kern w:val="0"/>
          <w:sz w:val="32"/>
          <w:szCs w:val="32"/>
          <w:lang w:eastAsia="zh-CN"/>
        </w:rPr>
        <w:t>不得分。</w:t>
      </w:r>
      <w:r>
        <w:rPr>
          <w:rFonts w:hint="eastAsia" w:ascii="仿宋" w:hAnsi="仿宋" w:eastAsia="仿宋" w:cs="仿宋"/>
          <w:color w:val="auto"/>
          <w:kern w:val="0"/>
          <w:sz w:val="32"/>
          <w:szCs w:val="32"/>
          <w:highlight w:val="none"/>
          <w:lang w:eastAsia="zh-CN"/>
        </w:rPr>
        <w:t>差异原因：</w:t>
      </w:r>
      <w:r>
        <w:rPr>
          <w:rFonts w:hint="eastAsia" w:ascii="仿宋" w:hAnsi="仿宋" w:eastAsia="仿宋" w:cs="仿宋"/>
          <w:color w:val="auto"/>
          <w:kern w:val="0"/>
          <w:sz w:val="32"/>
          <w:szCs w:val="32"/>
          <w:highlight w:val="none"/>
          <w:lang w:val="en-US" w:eastAsia="zh-CN"/>
        </w:rPr>
        <w:t>2018年实现销售收入1,474,818.27万元、2019年实现销售收入1,276,590.88万元，差额主要是由于中国重汽集团福建海西汽车有限公司和智胜化工股份有限公司2019年高新技术企业认定已到期，但都因重新认定时研发投入占销售收入比重不足3%，无法满足国家高新技术企业认定条件，导致未能重新申报认定。根据火炬统计年报，2018年中国重汽集团福建海西汽车有限公司销售收入135,654.95万元，智胜化工股份有限公司销售收入67,980.70万元，共计203,635.65万元。</w:t>
      </w:r>
    </w:p>
    <w:p>
      <w:pPr>
        <w:pStyle w:val="2"/>
        <w:ind w:left="0" w:leftChars="0"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（3）</w:t>
      </w:r>
      <w:r>
        <w:rPr>
          <w:rFonts w:hint="eastAsia" w:ascii="仿宋" w:hAnsi="仿宋" w:eastAsia="仿宋" w:cs="仿宋"/>
          <w:color w:val="auto"/>
          <w:kern w:val="0"/>
          <w:sz w:val="32"/>
          <w:szCs w:val="32"/>
          <w:lang w:val="en-US" w:eastAsia="zh-CN"/>
        </w:rPr>
        <w:t>新增孵化器、众创空间年收入额的分值3</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1.5</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50.00万元</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28.30万元，扣</w:t>
      </w:r>
      <w:r>
        <w:rPr>
          <w:rFonts w:hint="eastAsia" w:ascii="仿宋" w:hAnsi="仿宋" w:eastAsia="仿宋" w:cs="仿宋"/>
          <w:color w:val="auto"/>
          <w:kern w:val="0"/>
          <w:sz w:val="32"/>
          <w:szCs w:val="32"/>
          <w:lang w:val="en-US" w:eastAsia="zh-CN"/>
        </w:rPr>
        <w:t>1.5</w:t>
      </w:r>
      <w:r>
        <w:rPr>
          <w:rFonts w:hint="eastAsia" w:ascii="仿宋" w:hAnsi="仿宋" w:eastAsia="仿宋" w:cs="仿宋"/>
          <w:color w:val="auto"/>
          <w:kern w:val="0"/>
          <w:sz w:val="32"/>
          <w:szCs w:val="32"/>
          <w:lang w:val="en-US" w:eastAsia="zh-CN"/>
        </w:rPr>
        <w:t>分。其中：服务收入4.8万元、投资收入2.6万元、房租及物业收入11.8万元、其他收入9.1万元。</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default" w:ascii="仿宋_GB2312" w:hAnsi="宋体" w:eastAsia="仿宋_GB2312" w:cs="仿宋_GB2312"/>
          <w:color w:val="auto"/>
          <w:sz w:val="32"/>
          <w:szCs w:val="32"/>
          <w:highlight w:val="yellow"/>
          <w:lang w:val="en-US" w:eastAsia="zh-CN"/>
        </w:rPr>
      </w:pPr>
      <w:r>
        <w:rPr>
          <w:rFonts w:hint="eastAsia" w:ascii="仿宋" w:hAnsi="仿宋" w:eastAsia="仿宋" w:cs="仿宋"/>
          <w:color w:val="auto"/>
          <w:kern w:val="0"/>
          <w:sz w:val="32"/>
          <w:szCs w:val="32"/>
        </w:rPr>
        <w:t>（4）</w:t>
      </w:r>
      <w:r>
        <w:rPr>
          <w:rFonts w:hint="eastAsia" w:ascii="仿宋" w:hAnsi="仿宋" w:eastAsia="仿宋" w:cs="仿宋"/>
          <w:color w:val="auto"/>
          <w:kern w:val="0"/>
          <w:sz w:val="32"/>
          <w:szCs w:val="32"/>
          <w:lang w:val="en-US" w:eastAsia="zh-CN"/>
        </w:rPr>
        <w:t>孵化器入驻企业年营业收入增长率的分值3</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20%</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87.5%，得满分</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highlight w:val="none"/>
          <w:lang w:eastAsia="zh-CN"/>
        </w:rPr>
        <w:t>差异原因：根据科技部火炬统计孵化器年报统计</w:t>
      </w:r>
      <w:r>
        <w:rPr>
          <w:rFonts w:hint="eastAsia" w:ascii="仿宋" w:hAnsi="仿宋" w:eastAsia="仿宋" w:cs="仿宋"/>
          <w:color w:val="auto"/>
          <w:kern w:val="0"/>
          <w:sz w:val="32"/>
          <w:szCs w:val="32"/>
          <w:highlight w:val="none"/>
          <w:lang w:val="en-US" w:eastAsia="zh-CN"/>
        </w:rPr>
        <w:t>2018年孵化器入驻企业的营业收入72,324.52万元，2019年孵化器入驻企业的营业收入135,358.20万元，其差额的主要原因是2019年中能海西（三明）节能环保产业孵化器新增入驻企业福建有道贵金属材料科技有限公司当年申报营业收入为76,000.00万元，导致2019年三明市科技企业孵化器总收入较上年比较增长较大。</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r>
        <w:rPr>
          <w:rFonts w:hint="eastAsia" w:ascii="仿宋" w:hAnsi="仿宋" w:eastAsia="仿宋" w:cs="仿宋"/>
          <w:color w:val="auto"/>
          <w:kern w:val="0"/>
          <w:sz w:val="32"/>
          <w:szCs w:val="32"/>
          <w:lang w:val="en-US" w:eastAsia="zh-CN"/>
        </w:rPr>
        <w:t>三明市高新技术企业就业人数增长率的分值4</w:t>
      </w:r>
      <w:r>
        <w:rPr>
          <w:rFonts w:hint="eastAsia" w:ascii="仿宋" w:hAnsi="仿宋" w:eastAsia="仿宋" w:cs="仿宋"/>
          <w:color w:val="auto"/>
          <w:kern w:val="0"/>
          <w:sz w:val="32"/>
          <w:szCs w:val="32"/>
        </w:rPr>
        <w:t>分，得分</w:t>
      </w:r>
      <w:r>
        <w:rPr>
          <w:rFonts w:hint="eastAsia" w:ascii="仿宋" w:hAnsi="仿宋" w:eastAsia="仿宋" w:cs="仿宋"/>
          <w:color w:val="auto"/>
          <w:kern w:val="0"/>
          <w:sz w:val="32"/>
          <w:szCs w:val="32"/>
          <w:lang w:val="en-US" w:eastAsia="zh-CN"/>
        </w:rPr>
        <w:t>0</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10%</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-1.06%，不得分</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highlight w:val="none"/>
          <w:lang w:eastAsia="zh-CN"/>
        </w:rPr>
        <w:t>差异原因：根据科技部高新技术企业火炬统计年报统计</w:t>
      </w:r>
      <w:r>
        <w:rPr>
          <w:rFonts w:hint="eastAsia" w:ascii="仿宋" w:hAnsi="仿宋" w:eastAsia="仿宋" w:cs="仿宋"/>
          <w:color w:val="auto"/>
          <w:kern w:val="0"/>
          <w:sz w:val="32"/>
          <w:szCs w:val="32"/>
          <w:highlight w:val="none"/>
          <w:lang w:val="en-US" w:eastAsia="zh-CN"/>
        </w:rPr>
        <w:t>2018年高新技术企业从业人数15,480人，2019年高新技术企业从业人数15,316人，差额是由于中国重汽集团福建海西汽车有限公司和智胜化工股份有限公司2019年高新技术企业认定已到期，但都因当年研发投入占销售收入比重不足3%，无法满足国家高新技术企业认定条件，导致未能重新申报认定。根据火炬统计年报中，2018年中国重汽集团福建海西汽车有限公司从业人数969人，智胜化工股份有限公司从业人数614人，共计1,583人。</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6</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研发经费投入强度（错年值）的分值4分，得分</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lang w:val="en-US" w:eastAsia="zh-CN"/>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1.8%</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1.05%，</w:t>
      </w:r>
      <w:r>
        <w:rPr>
          <w:rFonts w:hint="eastAsia" w:ascii="仿宋" w:hAnsi="仿宋" w:eastAsia="仿宋" w:cs="仿宋"/>
          <w:color w:val="auto"/>
          <w:kern w:val="0"/>
          <w:sz w:val="32"/>
          <w:szCs w:val="32"/>
          <w:lang w:val="en-US" w:eastAsia="zh-CN"/>
        </w:rPr>
        <w:t>扣1分</w:t>
      </w:r>
      <w:r>
        <w:rPr>
          <w:rFonts w:hint="eastAsia" w:ascii="仿宋" w:hAnsi="仿宋" w:eastAsia="仿宋" w:cs="仿宋"/>
          <w:color w:val="auto"/>
          <w:kern w:val="0"/>
          <w:sz w:val="32"/>
          <w:szCs w:val="32"/>
        </w:rPr>
        <w:t>。</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7</w:t>
      </w:r>
      <w:r>
        <w:rPr>
          <w:rFonts w:hint="eastAsia" w:ascii="仿宋" w:hAnsi="仿宋" w:eastAsia="仿宋" w:cs="仿宋"/>
          <w:color w:val="auto"/>
          <w:kern w:val="0"/>
          <w:sz w:val="32"/>
          <w:szCs w:val="32"/>
          <w:lang w:eastAsia="zh-CN"/>
        </w:rPr>
        <w:t>）高新技术企业申报通过率的分值</w:t>
      </w:r>
      <w:r>
        <w:rPr>
          <w:rFonts w:hint="eastAsia" w:ascii="仿宋" w:hAnsi="仿宋" w:eastAsia="仿宋" w:cs="仿宋"/>
          <w:color w:val="auto"/>
          <w:kern w:val="0"/>
          <w:sz w:val="32"/>
          <w:szCs w:val="32"/>
          <w:lang w:val="en-US" w:eastAsia="zh-CN"/>
        </w:rPr>
        <w:t>4分，得分</w:t>
      </w:r>
      <w:r>
        <w:rPr>
          <w:rFonts w:hint="eastAsia" w:ascii="仿宋" w:hAnsi="仿宋" w:eastAsia="仿宋" w:cs="仿宋"/>
          <w:color w:val="auto"/>
          <w:kern w:val="0"/>
          <w:sz w:val="32"/>
          <w:szCs w:val="32"/>
          <w:lang w:val="en-US" w:eastAsia="zh-CN"/>
        </w:rPr>
        <w:t>3.5</w:t>
      </w:r>
      <w:r>
        <w:rPr>
          <w:rFonts w:hint="eastAsia" w:ascii="仿宋" w:hAnsi="仿宋" w:eastAsia="仿宋" w:cs="仿宋"/>
          <w:color w:val="auto"/>
          <w:kern w:val="0"/>
          <w:sz w:val="32"/>
          <w:szCs w:val="32"/>
          <w:lang w:val="en-US" w:eastAsia="zh-CN"/>
        </w:rPr>
        <w:t>分。通过申报高新技术企业数量及成功通过认定，设定的指标值省级高新技术企业认定率70%，国家级高新技术企业认定率70%。实际省级高新技术企业的认定率：38/57=66.67%，扣</w:t>
      </w:r>
      <w:r>
        <w:rPr>
          <w:rFonts w:hint="eastAsia" w:ascii="仿宋" w:hAnsi="仿宋" w:eastAsia="仿宋" w:cs="仿宋"/>
          <w:color w:val="auto"/>
          <w:kern w:val="0"/>
          <w:sz w:val="32"/>
          <w:szCs w:val="32"/>
          <w:lang w:val="en-US" w:eastAsia="zh-CN"/>
        </w:rPr>
        <w:t>0.5</w:t>
      </w:r>
      <w:r>
        <w:rPr>
          <w:rFonts w:hint="eastAsia" w:ascii="仿宋" w:hAnsi="仿宋" w:eastAsia="仿宋" w:cs="仿宋"/>
          <w:color w:val="auto"/>
          <w:kern w:val="0"/>
          <w:sz w:val="32"/>
          <w:szCs w:val="32"/>
          <w:lang w:val="en-US" w:eastAsia="zh-CN"/>
        </w:rPr>
        <w:t>分；国家级高新企业认定率：44/61=72.13%，</w:t>
      </w:r>
      <w:r>
        <w:rPr>
          <w:rFonts w:hint="eastAsia" w:ascii="仿宋" w:hAnsi="仿宋" w:eastAsia="仿宋" w:cs="仿宋"/>
          <w:color w:val="auto"/>
          <w:kern w:val="0"/>
          <w:sz w:val="32"/>
          <w:szCs w:val="32"/>
          <w:lang w:val="en-US" w:eastAsia="zh-CN"/>
        </w:rPr>
        <w:t>得2分，合计得3.5分。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default"/>
          <w:color w:val="auto"/>
          <w:lang w:val="en-US" w:eastAsia="zh-CN"/>
        </w:rPr>
      </w:pP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8</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带动三明市研发经费投入增长率（错年值）的分值</w:t>
      </w:r>
      <w:r>
        <w:rPr>
          <w:rFonts w:hint="eastAsia" w:ascii="仿宋" w:hAnsi="仿宋" w:eastAsia="仿宋" w:cs="仿宋"/>
          <w:color w:val="auto"/>
          <w:kern w:val="0"/>
          <w:sz w:val="32"/>
          <w:szCs w:val="32"/>
        </w:rPr>
        <w:t>4分，得分</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18.4%</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19.6%，得满分。</w:t>
      </w:r>
    </w:p>
    <w:p>
      <w:pPr>
        <w:keepNext w:val="0"/>
        <w:keepLines w:val="0"/>
        <w:pageBreakBefore w:val="0"/>
        <w:kinsoku/>
        <w:wordWrap/>
        <w:overflowPunct/>
        <w:topLinePunct w:val="0"/>
        <w:autoSpaceDE/>
        <w:autoSpaceDN/>
        <w:bidi w:val="0"/>
        <w:adjustRightInd/>
        <w:snapToGrid/>
        <w:spacing w:line="520" w:lineRule="exact"/>
        <w:ind w:firstLine="480" w:firstLineChars="15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9</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服务对象满意度</w:t>
      </w:r>
      <w:r>
        <w:rPr>
          <w:rFonts w:hint="eastAsia" w:ascii="仿宋" w:hAnsi="仿宋" w:eastAsia="仿宋" w:cs="仿宋"/>
          <w:color w:val="auto"/>
          <w:kern w:val="0"/>
          <w:sz w:val="32"/>
          <w:szCs w:val="32"/>
          <w:lang w:eastAsia="zh-CN"/>
        </w:rPr>
        <w:t>方面的分值</w:t>
      </w:r>
      <w:r>
        <w:rPr>
          <w:rFonts w:hint="eastAsia" w:ascii="仿宋" w:hAnsi="仿宋" w:eastAsia="仿宋" w:cs="仿宋"/>
          <w:color w:val="auto"/>
          <w:kern w:val="0"/>
          <w:sz w:val="32"/>
          <w:szCs w:val="32"/>
          <w:lang w:val="en-US" w:eastAsia="zh-CN"/>
        </w:rPr>
        <w:t>4分，得3分。</w:t>
      </w:r>
      <w:r>
        <w:rPr>
          <w:rFonts w:hint="eastAsia" w:ascii="仿宋" w:hAnsi="仿宋" w:eastAsia="仿宋" w:cs="仿宋"/>
          <w:color w:val="auto"/>
          <w:kern w:val="0"/>
          <w:sz w:val="32"/>
          <w:szCs w:val="32"/>
          <w:lang w:eastAsia="zh-CN"/>
        </w:rPr>
        <w:t>设定的指标值为</w:t>
      </w:r>
      <w:r>
        <w:rPr>
          <w:rFonts w:hint="eastAsia" w:ascii="仿宋" w:hAnsi="仿宋" w:eastAsia="仿宋" w:cs="仿宋"/>
          <w:color w:val="auto"/>
          <w:kern w:val="0"/>
          <w:sz w:val="32"/>
          <w:szCs w:val="32"/>
          <w:lang w:val="en-US" w:eastAsia="zh-CN"/>
        </w:rPr>
        <w:t>90%</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rPr>
        <w:t>应包含至少两种以上的调查方式</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eastAsia="zh-CN"/>
        </w:rPr>
        <w:t>实际完成</w:t>
      </w:r>
      <w:r>
        <w:rPr>
          <w:rFonts w:hint="eastAsia" w:ascii="仿宋" w:hAnsi="仿宋" w:eastAsia="仿宋" w:cs="仿宋"/>
          <w:color w:val="auto"/>
          <w:kern w:val="0"/>
          <w:sz w:val="32"/>
          <w:szCs w:val="32"/>
          <w:lang w:val="en-US" w:eastAsia="zh-CN"/>
        </w:rPr>
        <w:t>100%,平台当年未收到任何投诉,但未通过问卷及其他的方式进行调查，扣1分。</w:t>
      </w:r>
    </w:p>
    <w:p>
      <w:pPr>
        <w:keepNext w:val="0"/>
        <w:keepLines w:val="0"/>
        <w:pageBreakBefore w:val="0"/>
        <w:kinsoku/>
        <w:wordWrap/>
        <w:overflowPunct/>
        <w:topLinePunct w:val="0"/>
        <w:autoSpaceDE/>
        <w:autoSpaceDN/>
        <w:bidi w:val="0"/>
        <w:adjustRightInd/>
        <w:snapToGrid/>
        <w:spacing w:line="520" w:lineRule="exact"/>
        <w:ind w:firstLine="720" w:firstLineChars="200"/>
        <w:rPr>
          <w:rFonts w:hint="eastAsia" w:ascii="黑体" w:hAnsi="宋体" w:eastAsia="黑体" w:cs="黑体"/>
          <w:color w:val="auto"/>
          <w:kern w:val="0"/>
          <w:sz w:val="36"/>
          <w:szCs w:val="36"/>
        </w:rPr>
      </w:pPr>
      <w:r>
        <w:rPr>
          <w:rFonts w:hint="eastAsia" w:ascii="黑体" w:hAnsi="宋体" w:eastAsia="黑体" w:cs="黑体"/>
          <w:color w:val="auto"/>
          <w:kern w:val="0"/>
          <w:sz w:val="36"/>
          <w:szCs w:val="36"/>
        </w:rPr>
        <w:t>五、存在的主要问题</w:t>
      </w:r>
    </w:p>
    <w:p>
      <w:pPr>
        <w:keepNext w:val="0"/>
        <w:keepLines w:val="0"/>
        <w:pageBreakBefore w:val="0"/>
        <w:kinsoku/>
        <w:wordWrap/>
        <w:overflowPunct/>
        <w:topLinePunct w:val="0"/>
        <w:autoSpaceDE/>
        <w:autoSpaceDN/>
        <w:bidi w:val="0"/>
        <w:adjustRightInd/>
        <w:snapToGrid/>
        <w:spacing w:line="520" w:lineRule="exact"/>
        <w:ind w:firstLine="321" w:firstLineChars="100"/>
        <w:rPr>
          <w:rFonts w:hint="eastAsia" w:ascii="仿宋_GB2312" w:hAnsi="宋体" w:eastAsia="仿宋_GB2312" w:cs="仿宋_GB2312"/>
          <w:color w:val="auto"/>
          <w:kern w:val="0"/>
          <w:sz w:val="32"/>
          <w:szCs w:val="32"/>
          <w:lang w:val="en-US" w:eastAsia="zh-CN"/>
        </w:rPr>
      </w:pPr>
      <w:r>
        <w:rPr>
          <w:rFonts w:hint="eastAsia" w:ascii="楷体" w:hAnsi="楷体" w:eastAsia="楷体" w:cs="楷体"/>
          <w:b/>
          <w:bCs/>
          <w:color w:val="auto"/>
          <w:kern w:val="0"/>
          <w:sz w:val="32"/>
          <w:szCs w:val="32"/>
          <w:lang w:val="en-US" w:eastAsia="zh-CN"/>
        </w:rPr>
        <w:t>（一）未设置专项资金管理办法，项目管理制度不够完善。</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val="en-US" w:eastAsia="zh-CN"/>
        </w:rPr>
        <w:t>未设置属于三明市科学技术局专有的项目资金管理办法，未对企业申报奖补资金提供及时有效的指导，从而影响资金使用效率。项目自申报指南发布到资金拨付，整个过程时间较长，项目管理效率不高。</w:t>
      </w:r>
    </w:p>
    <w:p>
      <w:pPr>
        <w:keepNext w:val="0"/>
        <w:keepLines w:val="0"/>
        <w:pageBreakBefore w:val="0"/>
        <w:kinsoku/>
        <w:wordWrap/>
        <w:overflowPunct/>
        <w:topLinePunct w:val="0"/>
        <w:autoSpaceDE/>
        <w:autoSpaceDN/>
        <w:bidi w:val="0"/>
        <w:adjustRightInd/>
        <w:snapToGrid/>
        <w:spacing w:line="520" w:lineRule="exact"/>
        <w:ind w:firstLine="321" w:firstLineChars="100"/>
        <w:rPr>
          <w:rFonts w:hint="eastAsia" w:ascii="楷体" w:hAnsi="楷体" w:eastAsia="楷体" w:cs="楷体"/>
          <w:b/>
          <w:bCs/>
          <w:color w:val="auto"/>
          <w:kern w:val="0"/>
          <w:sz w:val="32"/>
          <w:szCs w:val="32"/>
          <w:lang w:val="en-US" w:eastAsia="zh-CN"/>
        </w:rPr>
      </w:pPr>
      <w:r>
        <w:rPr>
          <w:rFonts w:hint="eastAsia" w:ascii="楷体" w:hAnsi="楷体" w:eastAsia="楷体" w:cs="楷体"/>
          <w:b/>
          <w:bCs/>
          <w:color w:val="auto"/>
          <w:kern w:val="0"/>
          <w:sz w:val="32"/>
          <w:szCs w:val="32"/>
          <w:lang w:val="en-US" w:eastAsia="zh-CN"/>
        </w:rPr>
        <w:t>（二）高新企业政策宣传不足</w:t>
      </w:r>
      <w:r>
        <w:rPr>
          <w:rFonts w:hint="eastAsia" w:ascii="楷体" w:hAnsi="楷体" w:eastAsia="楷体" w:cs="楷体"/>
          <w:b/>
          <w:bCs/>
          <w:color w:val="auto"/>
          <w:kern w:val="0"/>
          <w:sz w:val="32"/>
          <w:szCs w:val="32"/>
          <w:lang w:val="en-US" w:eastAsia="zh-CN"/>
        </w:rPr>
        <w:t>，高企申报企业数量不多。</w:t>
      </w:r>
    </w:p>
    <w:p>
      <w:pPr>
        <w:pStyle w:val="2"/>
        <w:rPr>
          <w:rFonts w:hint="default"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val="en-US" w:eastAsia="zh-CN"/>
        </w:rPr>
        <w:t>仅限于平台满意度调查及组织小范围培训新政策的宣传方式过于单一，无法进行大范围收集意见及宣传惠企新政策，造成部分企业未能知晓最新的惠企政策</w:t>
      </w:r>
      <w:r>
        <w:rPr>
          <w:rFonts w:hint="eastAsia" w:ascii="仿宋_GB2312" w:hAnsi="宋体" w:eastAsia="仿宋_GB2312" w:cs="仿宋_GB2312"/>
          <w:color w:val="auto"/>
          <w:kern w:val="0"/>
          <w:sz w:val="32"/>
          <w:szCs w:val="32"/>
          <w:lang w:val="en-US" w:eastAsia="zh-CN"/>
        </w:rPr>
        <w:t>从而未及时申报高新技术企业，导致高企申报企业数量不多，认定率呈下降趋势。2018年度省级高新技术企业的认定率：43/53=81.13%，国家级高新企业认定率：37/45=82.22%；2019年度省级高新技术企业的认定率：38/57=66.67%，国家级高新企业认定率：44/61=72.13%，均比2018年高新企业认定率低很多。</w:t>
      </w:r>
    </w:p>
    <w:p>
      <w:pPr>
        <w:keepNext w:val="0"/>
        <w:keepLines w:val="0"/>
        <w:pageBreakBefore w:val="0"/>
        <w:kinsoku/>
        <w:wordWrap/>
        <w:overflowPunct/>
        <w:topLinePunct w:val="0"/>
        <w:autoSpaceDE/>
        <w:autoSpaceDN/>
        <w:bidi w:val="0"/>
        <w:adjustRightInd/>
        <w:snapToGrid/>
        <w:spacing w:line="520" w:lineRule="exact"/>
        <w:ind w:firstLine="321" w:firstLineChars="100"/>
        <w:rPr>
          <w:rFonts w:hint="eastAsia" w:ascii="楷体" w:hAnsi="楷体" w:eastAsia="楷体" w:cs="楷体"/>
          <w:b/>
          <w:bCs/>
          <w:color w:val="auto"/>
          <w:kern w:val="0"/>
          <w:sz w:val="32"/>
          <w:szCs w:val="32"/>
          <w:lang w:val="en-US" w:eastAsia="zh-CN"/>
        </w:rPr>
      </w:pPr>
      <w:r>
        <w:rPr>
          <w:rFonts w:hint="eastAsia" w:ascii="楷体" w:hAnsi="楷体" w:eastAsia="楷体" w:cs="楷体"/>
          <w:b/>
          <w:bCs/>
          <w:color w:val="auto"/>
          <w:kern w:val="0"/>
          <w:sz w:val="32"/>
          <w:szCs w:val="32"/>
          <w:lang w:val="en-US" w:eastAsia="zh-CN"/>
        </w:rPr>
        <w:t>（三）研发经费投入不足</w:t>
      </w:r>
      <w:r>
        <w:rPr>
          <w:rFonts w:hint="eastAsia" w:ascii="楷体" w:hAnsi="楷体" w:eastAsia="楷体" w:cs="楷体"/>
          <w:b/>
          <w:bCs/>
          <w:color w:val="auto"/>
          <w:kern w:val="0"/>
          <w:sz w:val="32"/>
          <w:szCs w:val="32"/>
          <w:lang w:val="en-US" w:eastAsia="zh-CN"/>
        </w:rPr>
        <w:t>，奖补范围不够广。</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val="en-US" w:eastAsia="zh-CN"/>
        </w:rPr>
        <w:t>2018年三明市R&amp;D经费投入27.74亿元，比上年增长19.6%，R&amp;D经费投入强度1.05%，虽然投入经费较上年增长幅度较大，但全省平均经费投入强度1.8%，经费投入强度仍然偏低，产业层次偏低，科技型企业数量少；</w:t>
      </w:r>
      <w:r>
        <w:rPr>
          <w:rFonts w:hint="eastAsia" w:ascii="仿宋_GB2312" w:hAnsi="宋体" w:eastAsia="仿宋_GB2312" w:cs="仿宋_GB2312"/>
          <w:color w:val="auto"/>
          <w:kern w:val="0"/>
          <w:sz w:val="32"/>
          <w:szCs w:val="32"/>
          <w:lang w:eastAsia="zh-CN"/>
        </w:rPr>
        <w:t>省级、国家级高新技术企业</w:t>
      </w:r>
      <w:r>
        <w:rPr>
          <w:rFonts w:hint="eastAsia" w:ascii="仿宋_GB2312" w:hAnsi="宋体" w:eastAsia="仿宋_GB2312" w:cs="仿宋_GB2312"/>
          <w:color w:val="auto"/>
          <w:kern w:val="0"/>
          <w:sz w:val="32"/>
          <w:szCs w:val="32"/>
          <w:lang w:val="en-US" w:eastAsia="zh-CN"/>
        </w:rPr>
        <w:t xml:space="preserve">82家、118家，分别仅占全省3.99%、2.84%，研发投入动力不足。  </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kern w:val="0"/>
          <w:sz w:val="32"/>
          <w:szCs w:val="32"/>
          <w:lang w:val="en-US" w:eastAsia="zh-CN"/>
        </w:rPr>
      </w:pPr>
      <w:r>
        <w:rPr>
          <w:rFonts w:hint="eastAsia" w:ascii="仿宋_GB2312" w:hAnsi="宋体" w:eastAsia="仿宋_GB2312" w:cs="仿宋_GB2312"/>
          <w:color w:val="auto"/>
          <w:kern w:val="0"/>
          <w:sz w:val="32"/>
          <w:szCs w:val="32"/>
          <w:lang w:val="en-US" w:eastAsia="zh-CN"/>
        </w:rPr>
        <w:t>按八大技术领域划分，除航空航天外（三明无），三明市高企大都集中在生物与新医药、新材料、先进制造与自动化三大领域。按所在地区域划分，三明市高企主要分布在永安、沙县、将乐3个县（市、区），共有高企数75家，占全市总量的51%，总体奖补范围不够广。</w:t>
      </w:r>
    </w:p>
    <w:p>
      <w:pPr>
        <w:keepNext w:val="0"/>
        <w:keepLines w:val="0"/>
        <w:pageBreakBefore w:val="0"/>
        <w:kinsoku/>
        <w:wordWrap/>
        <w:overflowPunct/>
        <w:topLinePunct w:val="0"/>
        <w:autoSpaceDE/>
        <w:autoSpaceDN/>
        <w:bidi w:val="0"/>
        <w:adjustRightInd/>
        <w:snapToGrid/>
        <w:spacing w:line="520" w:lineRule="exact"/>
        <w:ind w:firstLine="720" w:firstLineChars="200"/>
        <w:rPr>
          <w:rFonts w:ascii="黑体" w:hAnsi="宋体" w:eastAsia="黑体"/>
          <w:color w:val="auto"/>
          <w:kern w:val="0"/>
          <w:sz w:val="36"/>
          <w:szCs w:val="36"/>
        </w:rPr>
      </w:pPr>
      <w:r>
        <w:rPr>
          <w:rFonts w:hint="eastAsia" w:ascii="黑体" w:hAnsi="宋体" w:eastAsia="黑体" w:cs="黑体"/>
          <w:color w:val="auto"/>
          <w:kern w:val="0"/>
          <w:sz w:val="36"/>
          <w:szCs w:val="36"/>
        </w:rPr>
        <w:t>六、相关建议</w:t>
      </w:r>
    </w:p>
    <w:p>
      <w:pPr>
        <w:keepNext w:val="0"/>
        <w:keepLines w:val="0"/>
        <w:pageBreakBefore w:val="0"/>
        <w:kinsoku/>
        <w:wordWrap/>
        <w:overflowPunct/>
        <w:topLinePunct w:val="0"/>
        <w:autoSpaceDE/>
        <w:autoSpaceDN/>
        <w:bidi w:val="0"/>
        <w:adjustRightInd/>
        <w:snapToGrid/>
        <w:spacing w:line="520" w:lineRule="exact"/>
        <w:ind w:firstLine="321" w:firstLineChars="100"/>
        <w:rPr>
          <w:rFonts w:hint="eastAsia" w:ascii="楷体" w:hAnsi="楷体" w:eastAsia="楷体" w:cs="楷体"/>
          <w:b/>
          <w:bCs/>
          <w:color w:val="auto"/>
          <w:kern w:val="0"/>
          <w:sz w:val="32"/>
          <w:szCs w:val="32"/>
          <w:lang w:val="en-US" w:eastAsia="zh-CN"/>
        </w:rPr>
      </w:pPr>
      <w:r>
        <w:rPr>
          <w:rFonts w:hint="eastAsia" w:ascii="楷体" w:hAnsi="楷体" w:eastAsia="楷体" w:cs="楷体"/>
          <w:b/>
          <w:bCs/>
          <w:color w:val="auto"/>
          <w:kern w:val="0"/>
          <w:sz w:val="32"/>
          <w:szCs w:val="32"/>
          <w:lang w:val="en-US" w:eastAsia="zh-CN"/>
        </w:rPr>
        <w:t>（一）制定专项资金管理办法，加强项目管理制度。</w:t>
      </w:r>
    </w:p>
    <w:p>
      <w:pPr>
        <w:keepNext w:val="0"/>
        <w:keepLines w:val="0"/>
        <w:pageBreakBefore w:val="0"/>
        <w:kinsoku/>
        <w:wordWrap/>
        <w:overflowPunct/>
        <w:topLinePunct w:val="0"/>
        <w:autoSpaceDE/>
        <w:autoSpaceDN/>
        <w:bidi w:val="0"/>
        <w:adjustRightInd/>
        <w:snapToGrid/>
        <w:spacing w:line="520" w:lineRule="exact"/>
        <w:ind w:firstLine="640" w:firstLineChars="200"/>
        <w:rPr>
          <w:rFonts w:hint="eastAsia" w:ascii="仿宋_GB2312" w:hAnsi="宋体" w:eastAsia="仿宋_GB2312" w:cs="仿宋_GB2312"/>
          <w:color w:val="auto"/>
          <w:kern w:val="0"/>
          <w:sz w:val="32"/>
          <w:szCs w:val="32"/>
          <w:lang w:eastAsia="zh-CN"/>
        </w:rPr>
      </w:pPr>
      <w:r>
        <w:rPr>
          <w:rFonts w:hint="eastAsia" w:ascii="仿宋_GB2312" w:hAnsi="宋体" w:eastAsia="仿宋_GB2312" w:cs="仿宋_GB2312"/>
          <w:color w:val="auto"/>
          <w:kern w:val="0"/>
          <w:sz w:val="32"/>
          <w:szCs w:val="32"/>
        </w:rPr>
        <w:t>建议</w:t>
      </w:r>
      <w:r>
        <w:rPr>
          <w:rFonts w:hint="eastAsia" w:ascii="仿宋_GB2312" w:hAnsi="宋体" w:eastAsia="仿宋_GB2312" w:cs="仿宋_GB2312"/>
          <w:color w:val="auto"/>
          <w:kern w:val="0"/>
          <w:sz w:val="32"/>
          <w:szCs w:val="32"/>
          <w:lang w:eastAsia="zh-CN"/>
        </w:rPr>
        <w:t>参照市财政局专项资金</w:t>
      </w:r>
      <w:r>
        <w:rPr>
          <w:rFonts w:hint="eastAsia" w:ascii="仿宋_GB2312" w:hAnsi="宋体" w:eastAsia="仿宋_GB2312" w:cs="仿宋_GB2312"/>
          <w:color w:val="auto"/>
          <w:kern w:val="0"/>
          <w:sz w:val="32"/>
          <w:szCs w:val="32"/>
        </w:rPr>
        <w:t>管理办法</w:t>
      </w:r>
      <w:r>
        <w:rPr>
          <w:rFonts w:hint="eastAsia" w:ascii="仿宋_GB2312" w:hAnsi="宋体" w:eastAsia="仿宋_GB2312" w:cs="仿宋_GB2312"/>
          <w:color w:val="auto"/>
          <w:kern w:val="0"/>
          <w:sz w:val="32"/>
          <w:szCs w:val="32"/>
          <w:lang w:eastAsia="zh-CN"/>
        </w:rPr>
        <w:t>，制定属于三明市科学技术局特有的专项资金管理办法</w:t>
      </w:r>
      <w:r>
        <w:rPr>
          <w:rFonts w:hint="eastAsia" w:ascii="仿宋_GB2312" w:hAnsi="宋体" w:eastAsia="仿宋_GB2312" w:cs="仿宋_GB2312"/>
          <w:color w:val="auto"/>
          <w:kern w:val="0"/>
          <w:sz w:val="32"/>
          <w:szCs w:val="32"/>
        </w:rPr>
        <w:t>，使办法能</w:t>
      </w:r>
      <w:r>
        <w:rPr>
          <w:rFonts w:hint="eastAsia" w:ascii="仿宋_GB2312" w:hAnsi="宋体" w:eastAsia="仿宋_GB2312" w:cs="仿宋_GB2312"/>
          <w:color w:val="auto"/>
          <w:kern w:val="0"/>
          <w:sz w:val="32"/>
          <w:szCs w:val="32"/>
          <w:lang w:eastAsia="zh-CN"/>
        </w:rPr>
        <w:t>够明确整个专项资金的申报及奖补流程，提高资金使用效率。</w:t>
      </w:r>
    </w:p>
    <w:p>
      <w:pPr>
        <w:pStyle w:val="2"/>
        <w:ind w:left="0" w:leftChars="0" w:firstLine="321" w:firstLineChars="100"/>
        <w:rPr>
          <w:rFonts w:hint="eastAsia" w:ascii="仿宋" w:hAnsi="仿宋" w:eastAsia="仿宋" w:cs="宋体"/>
          <w:color w:val="auto"/>
          <w:kern w:val="0"/>
          <w:sz w:val="32"/>
          <w:szCs w:val="32"/>
          <w:lang w:val="en-US" w:eastAsia="zh-CN"/>
        </w:rPr>
      </w:pPr>
      <w:r>
        <w:rPr>
          <w:rFonts w:hint="eastAsia" w:ascii="楷体" w:hAnsi="楷体" w:eastAsia="楷体" w:cs="楷体"/>
          <w:b/>
          <w:bCs/>
          <w:color w:val="auto"/>
          <w:kern w:val="0"/>
          <w:sz w:val="32"/>
          <w:szCs w:val="32"/>
          <w:lang w:val="en-US" w:eastAsia="zh-CN"/>
        </w:rPr>
        <w:t>（二）提升高新企业政策知晓率</w:t>
      </w:r>
      <w:r>
        <w:rPr>
          <w:rFonts w:hint="eastAsia" w:ascii="楷体" w:hAnsi="楷体" w:eastAsia="楷体" w:cs="楷体"/>
          <w:b/>
          <w:bCs/>
          <w:color w:val="auto"/>
          <w:kern w:val="0"/>
          <w:sz w:val="32"/>
          <w:szCs w:val="32"/>
          <w:lang w:val="en-US" w:eastAsia="zh-CN"/>
        </w:rPr>
        <w:t>，鼓励企业积极申报高企补助。</w:t>
      </w:r>
    </w:p>
    <w:p>
      <w:pPr>
        <w:pStyle w:val="2"/>
        <w:ind w:firstLine="640"/>
        <w:rPr>
          <w:rFonts w:hint="eastAsia" w:ascii="仿宋" w:hAnsi="仿宋" w:eastAsia="仿宋" w:cs="宋体"/>
          <w:color w:val="auto"/>
          <w:kern w:val="0"/>
          <w:sz w:val="32"/>
          <w:szCs w:val="32"/>
          <w:lang w:val="en-US" w:eastAsia="zh-CN"/>
        </w:rPr>
      </w:pPr>
      <w:r>
        <w:rPr>
          <w:rFonts w:hint="eastAsia" w:ascii="仿宋" w:hAnsi="仿宋" w:eastAsia="仿宋" w:cs="宋体"/>
          <w:color w:val="auto"/>
          <w:kern w:val="0"/>
          <w:sz w:val="32"/>
          <w:szCs w:val="32"/>
          <w:lang w:val="en-US" w:eastAsia="zh-CN"/>
        </w:rPr>
        <w:t>可以通过定期对不同行业进行问卷调查、电话沟通及电子邮箱等方式，收集相关的建议及问题，并宣传相关惠企政策，提升整体的政策知晓率</w:t>
      </w:r>
      <w:r>
        <w:rPr>
          <w:rFonts w:hint="eastAsia" w:ascii="仿宋" w:hAnsi="仿宋" w:eastAsia="仿宋" w:cs="宋体"/>
          <w:color w:val="auto"/>
          <w:kern w:val="0"/>
          <w:sz w:val="32"/>
          <w:szCs w:val="32"/>
          <w:lang w:val="en-US" w:eastAsia="zh-CN"/>
        </w:rPr>
        <w:t>，鼓励企业积极申报高企补助。</w:t>
      </w:r>
    </w:p>
    <w:p>
      <w:pPr>
        <w:pStyle w:val="2"/>
        <w:ind w:left="0" w:leftChars="0" w:firstLine="321" w:firstLineChars="100"/>
        <w:rPr>
          <w:rFonts w:hint="eastAsia" w:ascii="楷体" w:hAnsi="楷体" w:eastAsia="楷体" w:cs="楷体"/>
          <w:b/>
          <w:bCs/>
          <w:color w:val="auto"/>
          <w:kern w:val="0"/>
          <w:sz w:val="32"/>
          <w:szCs w:val="32"/>
          <w:lang w:val="en-US" w:eastAsia="zh-CN"/>
        </w:rPr>
      </w:pPr>
      <w:r>
        <w:rPr>
          <w:rFonts w:hint="eastAsia" w:ascii="楷体" w:hAnsi="楷体" w:eastAsia="楷体" w:cs="楷体"/>
          <w:b/>
          <w:bCs/>
          <w:color w:val="auto"/>
          <w:kern w:val="0"/>
          <w:sz w:val="32"/>
          <w:szCs w:val="32"/>
          <w:lang w:val="en-US" w:eastAsia="zh-CN"/>
        </w:rPr>
        <w:t>（三）引导企业加大研发投入</w:t>
      </w:r>
      <w:r>
        <w:rPr>
          <w:rFonts w:hint="eastAsia" w:ascii="楷体" w:hAnsi="楷体" w:eastAsia="楷体" w:cs="楷体"/>
          <w:b/>
          <w:bCs/>
          <w:color w:val="auto"/>
          <w:kern w:val="0"/>
          <w:sz w:val="32"/>
          <w:szCs w:val="32"/>
          <w:lang w:val="en-US" w:eastAsia="zh-CN"/>
        </w:rPr>
        <w:t>，扩大奖补范围。</w:t>
      </w:r>
    </w:p>
    <w:p>
      <w:pPr>
        <w:pStyle w:val="2"/>
        <w:ind w:firstLine="640"/>
        <w:rPr>
          <w:rFonts w:hint="eastAsia" w:ascii="仿宋" w:hAnsi="仿宋" w:eastAsia="仿宋" w:cs="宋体"/>
          <w:color w:val="auto"/>
          <w:kern w:val="0"/>
          <w:sz w:val="32"/>
          <w:szCs w:val="32"/>
        </w:rPr>
      </w:pPr>
      <w:r>
        <w:rPr>
          <w:rFonts w:hint="eastAsia" w:ascii="仿宋" w:hAnsi="仿宋" w:eastAsia="仿宋" w:cs="宋体"/>
          <w:color w:val="auto"/>
          <w:kern w:val="0"/>
          <w:sz w:val="32"/>
          <w:szCs w:val="32"/>
          <w:lang w:eastAsia="zh-CN"/>
        </w:rPr>
        <w:t>积极引导企业加大</w:t>
      </w:r>
      <w:r>
        <w:rPr>
          <w:rFonts w:hint="eastAsia" w:ascii="仿宋" w:hAnsi="仿宋" w:eastAsia="仿宋" w:cs="宋体"/>
          <w:color w:val="auto"/>
          <w:kern w:val="0"/>
          <w:sz w:val="32"/>
          <w:szCs w:val="32"/>
        </w:rPr>
        <w:t>科技</w:t>
      </w:r>
      <w:r>
        <w:rPr>
          <w:rFonts w:hint="eastAsia" w:ascii="仿宋" w:hAnsi="仿宋" w:eastAsia="仿宋" w:cs="宋体"/>
          <w:color w:val="auto"/>
          <w:kern w:val="0"/>
          <w:sz w:val="32"/>
          <w:szCs w:val="32"/>
          <w:lang w:eastAsia="zh-CN"/>
        </w:rPr>
        <w:t>研发投入力度，建立完善挂钩帮扶制度，</w:t>
      </w:r>
      <w:r>
        <w:rPr>
          <w:rFonts w:hint="eastAsia" w:ascii="仿宋" w:hAnsi="仿宋" w:eastAsia="仿宋" w:cs="宋体"/>
          <w:color w:val="auto"/>
          <w:kern w:val="0"/>
          <w:sz w:val="32"/>
          <w:szCs w:val="32"/>
        </w:rPr>
        <w:t>着力营造良好创新生态，加快推进科技研发平台建设，推动各平台建立符合自身实际的运行和管理体制，增强服务企业创新和产业发展能力</w:t>
      </w:r>
      <w:r>
        <w:rPr>
          <w:rFonts w:hint="eastAsia" w:ascii="仿宋" w:hAnsi="仿宋" w:eastAsia="仿宋" w:cs="宋体"/>
          <w:color w:val="auto"/>
          <w:kern w:val="0"/>
          <w:sz w:val="32"/>
          <w:szCs w:val="32"/>
          <w:lang w:eastAsia="zh-CN"/>
        </w:rPr>
        <w:t>，并积极争取财政专项资金，扩大奖补范围</w:t>
      </w:r>
      <w:r>
        <w:rPr>
          <w:rFonts w:hint="eastAsia" w:ascii="仿宋" w:hAnsi="仿宋" w:eastAsia="仿宋" w:cs="宋体"/>
          <w:color w:val="auto"/>
          <w:kern w:val="0"/>
          <w:sz w:val="32"/>
          <w:szCs w:val="32"/>
        </w:rPr>
        <w:t>。</w:t>
      </w:r>
    </w:p>
    <w:p>
      <w:pPr>
        <w:pStyle w:val="2"/>
        <w:ind w:left="0" w:leftChars="0" w:firstLine="0" w:firstLineChars="0"/>
        <w:rPr>
          <w:rFonts w:hint="eastAsia" w:ascii="仿宋_GB2312" w:hAnsi="宋体" w:eastAsia="仿宋_GB2312" w:cs="宋体"/>
          <w:color w:val="auto"/>
          <w:kern w:val="0"/>
          <w:sz w:val="32"/>
          <w:szCs w:val="32"/>
        </w:rPr>
      </w:pPr>
    </w:p>
    <w:p>
      <w:pPr>
        <w:pStyle w:val="2"/>
        <w:ind w:left="0" w:leftChars="0" w:firstLine="0" w:firstLineChars="0"/>
        <w:rPr>
          <w:rFonts w:hint="eastAsia" w:ascii="仿宋_GB2312" w:hAnsi="宋体" w:eastAsia="仿宋_GB2312" w:cs="宋体"/>
          <w:color w:val="auto"/>
          <w:kern w:val="0"/>
          <w:sz w:val="32"/>
          <w:szCs w:val="32"/>
        </w:rPr>
      </w:pPr>
    </w:p>
    <w:p>
      <w:pPr>
        <w:snapToGrid w:val="0"/>
        <w:spacing w:line="560" w:lineRule="exac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福建武夷会计师事务所有限公司       主任会计师：</w:t>
      </w:r>
    </w:p>
    <w:p>
      <w:pPr>
        <w:snapToGrid w:val="0"/>
        <w:spacing w:line="560" w:lineRule="exac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三明分公司</w:t>
      </w:r>
    </w:p>
    <w:p>
      <w:pPr>
        <w:snapToGrid w:val="0"/>
        <w:spacing w:line="560" w:lineRule="exac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中国·三明              </w:t>
      </w:r>
      <w:r>
        <w:rPr>
          <w:rFonts w:hint="eastAsia" w:ascii="仿宋_GB2312" w:hAnsi="宋体"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rPr>
        <w:t>中国注册会计师：</w:t>
      </w:r>
    </w:p>
    <w:p>
      <w:pPr>
        <w:spacing w:line="560" w:lineRule="exact"/>
        <w:rPr>
          <w:rFonts w:ascii="楷体_GB2312" w:hAnsi="宋体" w:eastAsia="楷体_GB2312"/>
          <w:color w:val="auto"/>
          <w:sz w:val="32"/>
          <w:szCs w:val="32"/>
        </w:rPr>
        <w:sectPr>
          <w:headerReference r:id="rId4" w:type="default"/>
          <w:footerReference r:id="rId5" w:type="default"/>
          <w:pgSz w:w="11906" w:h="16838"/>
          <w:pgMar w:top="1985" w:right="1588" w:bottom="1985" w:left="1588" w:header="851" w:footer="1588" w:gutter="0"/>
          <w:pgNumType w:start="1"/>
          <w:cols w:space="720" w:num="1"/>
          <w:docGrid w:type="lines" w:linePitch="584" w:charSpace="0"/>
        </w:sectPr>
      </w:pP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auto"/>
          <w:kern w:val="0"/>
          <w:sz w:val="32"/>
          <w:szCs w:val="32"/>
          <w:lang w:val="en-US" w:eastAsia="zh-CN"/>
        </w:rPr>
        <w:t xml:space="preserve">  </w:t>
      </w:r>
    </w:p>
    <w:p>
      <w:pPr>
        <w:widowControl/>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20" w:lineRule="exact"/>
        <w:ind w:firstLine="883" w:firstLineChars="200"/>
        <w:jc w:val="center"/>
        <w:rPr>
          <w:rFonts w:ascii="宋体" w:hAnsi="宋体" w:cs="宋体"/>
          <w:b/>
          <w:color w:val="auto"/>
          <w:kern w:val="0"/>
          <w:sz w:val="44"/>
          <w:szCs w:val="44"/>
        </w:rPr>
      </w:pPr>
      <w:r>
        <w:rPr>
          <w:rFonts w:hint="eastAsia" w:ascii="宋体" w:hAnsi="宋体" w:cs="宋体"/>
          <w:b/>
          <w:color w:val="auto"/>
          <w:kern w:val="0"/>
          <w:sz w:val="44"/>
          <w:szCs w:val="44"/>
        </w:rPr>
        <w:t>20</w:t>
      </w:r>
      <w:r>
        <w:rPr>
          <w:rFonts w:hint="eastAsia" w:ascii="宋体" w:hAnsi="宋体" w:cs="宋体"/>
          <w:b/>
          <w:color w:val="auto"/>
          <w:kern w:val="0"/>
          <w:sz w:val="44"/>
          <w:szCs w:val="44"/>
          <w:lang w:val="en-US" w:eastAsia="zh-CN"/>
        </w:rPr>
        <w:t>20</w:t>
      </w:r>
      <w:r>
        <w:rPr>
          <w:rFonts w:hint="eastAsia" w:ascii="宋体" w:hAnsi="宋体" w:cs="宋体"/>
          <w:b/>
          <w:color w:val="auto"/>
          <w:kern w:val="0"/>
          <w:sz w:val="44"/>
          <w:szCs w:val="44"/>
        </w:rPr>
        <w:t>年度研发经费投入、机构建设及支持高新技术企业发展专项资金</w:t>
      </w:r>
      <w:r>
        <w:rPr>
          <w:rFonts w:hint="eastAsia" w:ascii="宋体" w:hAnsi="宋体" w:cs="宋体"/>
          <w:b/>
          <w:color w:val="auto"/>
          <w:kern w:val="0"/>
          <w:sz w:val="44"/>
          <w:szCs w:val="44"/>
          <w:lang w:eastAsia="zh-CN"/>
        </w:rPr>
        <w:t>项目绩效评价</w:t>
      </w:r>
      <w:r>
        <w:rPr>
          <w:rFonts w:hint="eastAsia" w:ascii="宋体" w:hAnsi="宋体" w:cs="宋体"/>
          <w:b/>
          <w:color w:val="auto"/>
          <w:kern w:val="0"/>
          <w:sz w:val="44"/>
          <w:szCs w:val="44"/>
        </w:rPr>
        <w:t>指标体系及评分表</w:t>
      </w:r>
    </w:p>
    <w:p>
      <w:pPr>
        <w:widowControl/>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beforeLines="30" w:line="500" w:lineRule="exact"/>
        <w:rPr>
          <w:rFonts w:ascii="宋体" w:hAnsi="宋体" w:cs="宋体"/>
          <w:b w:val="0"/>
          <w:bCs/>
          <w:color w:val="auto"/>
          <w:kern w:val="0"/>
          <w:sz w:val="28"/>
          <w:szCs w:val="28"/>
        </w:rPr>
      </w:pPr>
      <w:r>
        <w:rPr>
          <w:rFonts w:hint="eastAsia" w:ascii="宋体" w:hAnsi="宋体" w:cs="宋体"/>
          <w:b/>
          <w:color w:val="auto"/>
          <w:kern w:val="0"/>
          <w:sz w:val="28"/>
          <w:szCs w:val="28"/>
        </w:rPr>
        <w:t xml:space="preserve">绩效评价等级：优（   ） 良（ </w:t>
      </w:r>
      <w:r>
        <w:rPr>
          <w:rFonts w:hint="eastAsia" w:ascii="宋体" w:hAnsi="宋体" w:cs="宋体"/>
          <w:b/>
          <w:color w:val="auto"/>
          <w:kern w:val="0"/>
          <w:sz w:val="28"/>
          <w:szCs w:val="28"/>
          <w:lang w:eastAsia="zh-CN"/>
        </w:rPr>
        <w:t>√</w:t>
      </w:r>
      <w:r>
        <w:rPr>
          <w:rFonts w:hint="eastAsia" w:ascii="宋体" w:hAnsi="宋体" w:cs="宋体"/>
          <w:b/>
          <w:color w:val="auto"/>
          <w:kern w:val="0"/>
          <w:sz w:val="28"/>
          <w:szCs w:val="28"/>
        </w:rPr>
        <w:t xml:space="preserve"> ） </w:t>
      </w:r>
      <w:r>
        <w:rPr>
          <w:rFonts w:hint="eastAsia" w:ascii="宋体" w:hAnsi="宋体" w:cs="宋体"/>
          <w:b/>
          <w:color w:val="auto"/>
          <w:kern w:val="0"/>
          <w:sz w:val="28"/>
          <w:szCs w:val="28"/>
          <w:lang w:eastAsia="zh-CN"/>
        </w:rPr>
        <w:t>中</w:t>
      </w:r>
      <w:r>
        <w:rPr>
          <w:rFonts w:hint="eastAsia" w:ascii="宋体" w:hAnsi="宋体" w:cs="宋体"/>
          <w:b/>
          <w:color w:val="auto"/>
          <w:kern w:val="0"/>
          <w:sz w:val="28"/>
          <w:szCs w:val="28"/>
        </w:rPr>
        <w:t xml:space="preserve">（   ） </w:t>
      </w:r>
      <w:r>
        <w:rPr>
          <w:rFonts w:hint="eastAsia" w:ascii="宋体" w:hAnsi="宋体" w:cs="宋体"/>
          <w:b/>
          <w:color w:val="auto"/>
          <w:kern w:val="0"/>
          <w:sz w:val="28"/>
          <w:szCs w:val="28"/>
          <w:lang w:eastAsia="zh-CN"/>
        </w:rPr>
        <w:t>差</w:t>
      </w:r>
      <w:r>
        <w:rPr>
          <w:rFonts w:hint="eastAsia" w:ascii="宋体" w:hAnsi="宋体" w:cs="宋体"/>
          <w:b/>
          <w:color w:val="auto"/>
          <w:kern w:val="0"/>
          <w:sz w:val="28"/>
          <w:szCs w:val="28"/>
        </w:rPr>
        <w:t>（   ）</w:t>
      </w:r>
    </w:p>
    <w:tbl>
      <w:tblPr>
        <w:tblStyle w:val="10"/>
        <w:tblW w:w="14278" w:type="dxa"/>
        <w:jc w:val="center"/>
        <w:tblBorders>
          <w:top w:val="none" w:color="auto" w:sz="0"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1275"/>
        <w:gridCol w:w="1260"/>
        <w:gridCol w:w="1686"/>
        <w:gridCol w:w="5093"/>
        <w:gridCol w:w="1133"/>
        <w:gridCol w:w="1035"/>
        <w:gridCol w:w="2796"/>
      </w:tblGrid>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tblHeader/>
          <w:jc w:val="center"/>
        </w:trPr>
        <w:tc>
          <w:tcPr>
            <w:tcW w:w="127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一级指标</w:t>
            </w:r>
          </w:p>
        </w:tc>
        <w:tc>
          <w:tcPr>
            <w:tcW w:w="1260"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二级指标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三级指标</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评价标准</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权重</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评价  得分</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备注</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3240" w:hRule="atLeast"/>
          <w:jc w:val="center"/>
        </w:trPr>
        <w:tc>
          <w:tcPr>
            <w:tcW w:w="1275" w:type="dxa"/>
            <w:vMerge w:val="restart"/>
            <w:tcBorders>
              <w:top w:val="single" w:color="000000" w:sz="4" w:space="0"/>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决策</w:t>
            </w:r>
            <w:r>
              <w:rPr>
                <w:rFonts w:hint="eastAsia" w:ascii="仿宋" w:hAnsi="仿宋" w:eastAsia="仿宋" w:cs="仿宋"/>
                <w:color w:val="auto"/>
                <w:kern w:val="0"/>
                <w:sz w:val="24"/>
              </w:rPr>
              <w:t>（2</w:t>
            </w:r>
            <w:r>
              <w:rPr>
                <w:rFonts w:hint="eastAsia" w:ascii="仿宋" w:hAnsi="仿宋" w:eastAsia="仿宋" w:cs="仿宋"/>
                <w:color w:val="auto"/>
                <w:kern w:val="0"/>
                <w:sz w:val="24"/>
                <w:lang w:val="en-US" w:eastAsia="zh-CN"/>
              </w:rPr>
              <w:t>2</w:t>
            </w:r>
            <w:r>
              <w:rPr>
                <w:rFonts w:hint="eastAsia" w:ascii="仿宋" w:hAnsi="仿宋" w:eastAsia="仿宋" w:cs="仿宋"/>
                <w:color w:val="auto"/>
                <w:kern w:val="0"/>
                <w:sz w:val="24"/>
              </w:rPr>
              <w:t>%）</w:t>
            </w:r>
          </w:p>
          <w:p>
            <w:pPr>
              <w:widowControl/>
              <w:spacing w:line="320" w:lineRule="exact"/>
              <w:jc w:val="center"/>
              <w:rPr>
                <w:rFonts w:hint="eastAsia" w:ascii="仿宋" w:hAnsi="仿宋" w:eastAsia="仿宋" w:cs="仿宋"/>
                <w:color w:val="auto"/>
                <w:kern w:val="0"/>
                <w:sz w:val="24"/>
              </w:rPr>
            </w:pPr>
          </w:p>
        </w:tc>
        <w:tc>
          <w:tcPr>
            <w:tcW w:w="1260" w:type="dxa"/>
            <w:vMerge w:val="restart"/>
            <w:tcBorders>
              <w:top w:val="single" w:color="000000" w:sz="4" w:space="0"/>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项目立项</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立项依据</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充分性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①项目立项是否符合国家法律法规、国民经济发展规划和相关政策（1分）；②项目立项是否符合行业发展规划和政策要求（1分）；③项目立项是否与部门职责范围相符，属于部门</w:t>
            </w:r>
            <w:r>
              <w:rPr>
                <w:rFonts w:hint="eastAsia" w:ascii="仿宋" w:hAnsi="仿宋" w:eastAsia="仿宋" w:cs="仿宋"/>
                <w:color w:val="auto"/>
                <w:kern w:val="0"/>
                <w:sz w:val="21"/>
                <w:szCs w:val="21"/>
                <w:lang w:eastAsia="zh-CN"/>
              </w:rPr>
              <w:t>履</w:t>
            </w:r>
            <w:r>
              <w:rPr>
                <w:rFonts w:hint="eastAsia" w:ascii="仿宋" w:hAnsi="仿宋" w:eastAsia="仿宋" w:cs="仿宋"/>
                <w:color w:val="auto"/>
                <w:kern w:val="0"/>
                <w:sz w:val="21"/>
                <w:szCs w:val="21"/>
              </w:rPr>
              <w:t>职所需（1分）；④项目是否属于公共财政支持范围，是否符合中央、地方事权支出责任划分原则（1分）；</w:t>
            </w:r>
            <w:r>
              <w:rPr>
                <w:rFonts w:hint="eastAsia" w:ascii="仿宋" w:hAnsi="仿宋" w:eastAsia="仿宋" w:cs="仿宋"/>
                <w:color w:val="auto"/>
                <w:kern w:val="0"/>
                <w:sz w:val="21"/>
                <w:szCs w:val="21"/>
              </w:rPr>
              <w:fldChar w:fldCharType="begin"/>
            </w:r>
            <w:r>
              <w:rPr>
                <w:rFonts w:hint="eastAsia" w:ascii="仿宋" w:hAnsi="仿宋" w:eastAsia="仿宋" w:cs="仿宋"/>
                <w:color w:val="auto"/>
                <w:kern w:val="0"/>
                <w:sz w:val="21"/>
                <w:szCs w:val="21"/>
              </w:rPr>
              <w:instrText xml:space="preserve"> = 5 \* GB3 </w:instrText>
            </w:r>
            <w:r>
              <w:rPr>
                <w:rFonts w:hint="eastAsia" w:ascii="仿宋" w:hAnsi="仿宋" w:eastAsia="仿宋" w:cs="仿宋"/>
                <w:color w:val="auto"/>
                <w:kern w:val="0"/>
                <w:sz w:val="21"/>
                <w:szCs w:val="21"/>
              </w:rPr>
              <w:fldChar w:fldCharType="separate"/>
            </w:r>
            <w:r>
              <w:rPr>
                <w:rFonts w:hint="eastAsia" w:ascii="仿宋" w:hAnsi="仿宋" w:eastAsia="仿宋" w:cs="仿宋"/>
                <w:color w:val="auto"/>
                <w:kern w:val="0"/>
                <w:sz w:val="21"/>
                <w:szCs w:val="21"/>
              </w:rPr>
              <w:t>⑤</w:t>
            </w:r>
            <w:r>
              <w:rPr>
                <w:rFonts w:hint="eastAsia" w:ascii="仿宋" w:hAnsi="仿宋" w:eastAsia="仿宋" w:cs="仿宋"/>
                <w:color w:val="auto"/>
                <w:kern w:val="0"/>
                <w:sz w:val="21"/>
                <w:szCs w:val="21"/>
              </w:rPr>
              <w:fldChar w:fldCharType="end"/>
            </w:r>
            <w:r>
              <w:rPr>
                <w:rFonts w:hint="eastAsia" w:ascii="仿宋" w:hAnsi="仿宋" w:eastAsia="仿宋" w:cs="仿宋"/>
                <w:color w:val="auto"/>
                <w:kern w:val="0"/>
                <w:sz w:val="21"/>
                <w:szCs w:val="21"/>
              </w:rPr>
              <w:t>项目是否与相关部门同类项目或部门内部相关项目重复（1分）。符合则按照各项分值得分，不符合则按照各项分值扣分，扣完为止。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5</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5</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项目依据福建省人民政府印发的相关文件执行，与部门职责相符，得满分。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605" w:hRule="atLeast"/>
          <w:jc w:val="center"/>
        </w:trPr>
        <w:tc>
          <w:tcPr>
            <w:tcW w:w="1275" w:type="dxa"/>
            <w:vMerge w:val="continue"/>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立项程序</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规范性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项目是否按照规定的程序申请设立（1分）；②审批文件、材料是否符合相关要求(1分)；③事前是否已经过必要的可行性研究、专家论证、风险评估、绩效评估、集体决策等（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_GB2312" w:hAnsi="宋体" w:eastAsia="仿宋_GB2312" w:cs="仿宋_GB2312"/>
                <w:color w:val="auto"/>
                <w:sz w:val="21"/>
                <w:szCs w:val="21"/>
                <w:lang w:val="en-US" w:eastAsia="zh-CN"/>
              </w:rPr>
              <w:t>项目按照规定程序申请设立，审批的文件和材料均符合相关要求，并通过集体过会讨论，得满分。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784" w:hRule="atLeast"/>
          <w:jc w:val="center"/>
        </w:trPr>
        <w:tc>
          <w:tcPr>
            <w:tcW w:w="1275" w:type="dxa"/>
            <w:vMerge w:val="restart"/>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决策</w:t>
            </w:r>
          </w:p>
          <w:p>
            <w:pPr>
              <w:pStyle w:val="2"/>
              <w:ind w:left="0" w:leftChars="0" w:firstLine="0" w:firstLineChars="0"/>
              <w:jc w:val="center"/>
              <w:rPr>
                <w:rFonts w:hint="eastAsia" w:ascii="仿宋" w:hAnsi="仿宋" w:eastAsia="仿宋" w:cs="仿宋"/>
                <w:color w:val="auto"/>
                <w:lang w:eastAsia="zh-CN"/>
              </w:rPr>
            </w:pP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22%</w:t>
            </w:r>
            <w:r>
              <w:rPr>
                <w:rFonts w:hint="eastAsia" w:ascii="仿宋" w:hAnsi="仿宋" w:eastAsia="仿宋" w:cs="仿宋"/>
                <w:color w:val="auto"/>
                <w:kern w:val="0"/>
                <w:sz w:val="24"/>
                <w:szCs w:val="24"/>
                <w:lang w:eastAsia="zh-CN"/>
              </w:rPr>
              <w:t>）</w:t>
            </w:r>
          </w:p>
        </w:tc>
        <w:tc>
          <w:tcPr>
            <w:tcW w:w="1260" w:type="dxa"/>
            <w:vMerge w:val="restart"/>
            <w:tcBorders>
              <w:top w:val="single" w:color="000000" w:sz="4" w:space="0"/>
              <w:left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4"/>
              </w:rPr>
            </w:pPr>
            <w:r>
              <w:rPr>
                <w:rFonts w:hint="eastAsia" w:ascii="仿宋" w:hAnsi="仿宋" w:eastAsia="仿宋" w:cs="仿宋"/>
                <w:color w:val="auto"/>
                <w:kern w:val="0"/>
                <w:sz w:val="24"/>
              </w:rPr>
              <w:t>绩效目标</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绩效目标</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合理性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①项目是否有绩效目标（1分）；②项目绩效目标与实际工作内容是否具有相关性（1分）；③项目预期产出效益和效果是否符合正常的业绩水平</w:t>
            </w:r>
            <w:r>
              <w:rPr>
                <w:rFonts w:hint="eastAsia" w:ascii="仿宋" w:hAnsi="仿宋" w:eastAsia="仿宋" w:cs="仿宋"/>
                <w:color w:val="auto"/>
                <w:kern w:val="0"/>
                <w:sz w:val="21"/>
                <w:szCs w:val="21"/>
                <w:lang w:eastAsia="zh-CN"/>
              </w:rPr>
              <w:t>（</w:t>
            </w:r>
            <w:r>
              <w:rPr>
                <w:rFonts w:hint="eastAsia" w:ascii="仿宋" w:hAnsi="仿宋" w:eastAsia="仿宋" w:cs="仿宋"/>
                <w:color w:val="auto"/>
                <w:kern w:val="0"/>
                <w:sz w:val="21"/>
                <w:szCs w:val="21"/>
                <w:lang w:val="en-US" w:eastAsia="zh-CN"/>
              </w:rPr>
              <w:t>1分</w:t>
            </w:r>
            <w:r>
              <w:rPr>
                <w:rFonts w:hint="eastAsia" w:ascii="仿宋" w:hAnsi="仿宋" w:eastAsia="仿宋" w:cs="仿宋"/>
                <w:color w:val="auto"/>
                <w:kern w:val="0"/>
                <w:sz w:val="21"/>
                <w:szCs w:val="21"/>
                <w:lang w:eastAsia="zh-CN"/>
              </w:rPr>
              <w:t>）</w:t>
            </w:r>
            <w:r>
              <w:rPr>
                <w:rFonts w:hint="eastAsia" w:ascii="仿宋" w:hAnsi="仿宋" w:eastAsia="仿宋" w:cs="仿宋"/>
                <w:color w:val="auto"/>
                <w:kern w:val="0"/>
                <w:sz w:val="21"/>
                <w:szCs w:val="21"/>
              </w:rPr>
              <w:t>；④是否与预算确定的项目投资额或资金量相匹配(1分)。符合则按照各项分值得分，不符合则按照各项分值扣分，扣完为止。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4</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eastAsia="zh-CN"/>
              </w:rPr>
            </w:pPr>
            <w:r>
              <w:rPr>
                <w:rFonts w:hint="eastAsia" w:ascii="仿宋_GB2312" w:hAnsi="宋体" w:eastAsia="仿宋_GB2312" w:cs="仿宋_GB2312"/>
                <w:color w:val="auto"/>
                <w:sz w:val="21"/>
                <w:szCs w:val="21"/>
              </w:rPr>
              <w:t>项目绩效目标设置较为合理，能与项目实施单位职责及促进科技事业发展密切相关</w:t>
            </w:r>
            <w:r>
              <w:rPr>
                <w:rFonts w:hint="eastAsia" w:ascii="仿宋_GB2312" w:hAnsi="宋体" w:eastAsia="仿宋_GB2312" w:cs="仿宋_GB2312"/>
                <w:color w:val="auto"/>
                <w:sz w:val="21"/>
                <w:szCs w:val="21"/>
                <w:lang w:eastAsia="zh-CN"/>
              </w:rPr>
              <w:t>，得满分</w:t>
            </w:r>
            <w:r>
              <w:rPr>
                <w:rFonts w:hint="eastAsia" w:ascii="仿宋_GB2312" w:hAnsi="宋体" w:eastAsia="仿宋_GB2312" w:cs="仿宋_GB2312"/>
                <w:color w:val="auto"/>
                <w:sz w:val="21"/>
                <w:szCs w:val="21"/>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680" w:hRule="atLeast"/>
          <w:jc w:val="center"/>
        </w:trPr>
        <w:tc>
          <w:tcPr>
            <w:tcW w:w="1275" w:type="dxa"/>
            <w:vMerge w:val="continue"/>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绩效指标</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明确性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是否将项目绩效目标细化分解为具体的绩效指标（1分）；②是否通过清晰、可衡量的指标值予以体现（1分）；③是否与项目目标任务数或计划数相对应（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eastAsia="zh-CN"/>
              </w:rPr>
            </w:pPr>
            <w:r>
              <w:rPr>
                <w:rFonts w:hint="eastAsia" w:ascii="仿宋_GB2312" w:hAnsi="宋体" w:eastAsia="仿宋_GB2312" w:cs="仿宋_GB2312"/>
                <w:color w:val="auto"/>
                <w:sz w:val="21"/>
                <w:szCs w:val="21"/>
              </w:rPr>
              <w:t>绩效指标与项目年度任务数或计划数相对应，能够通过清晰、可衡量的指标值予以</w:t>
            </w:r>
            <w:r>
              <w:rPr>
                <w:rFonts w:hint="eastAsia" w:ascii="仿宋_GB2312" w:hAnsi="宋体" w:eastAsia="仿宋_GB2312" w:cs="仿宋_GB2312"/>
                <w:color w:val="auto"/>
                <w:spacing w:val="-4"/>
                <w:sz w:val="21"/>
                <w:szCs w:val="21"/>
              </w:rPr>
              <w:t>体现，</w:t>
            </w:r>
            <w:r>
              <w:rPr>
                <w:rFonts w:hint="eastAsia" w:ascii="仿宋_GB2312" w:hAnsi="宋体" w:eastAsia="仿宋_GB2312" w:cs="仿宋_GB2312"/>
                <w:color w:val="auto"/>
                <w:spacing w:val="-4"/>
                <w:sz w:val="21"/>
                <w:szCs w:val="21"/>
                <w:lang w:eastAsia="zh-CN"/>
              </w:rPr>
              <w:t>与项目目标任务数或计划数相对应，得满分</w:t>
            </w:r>
            <w:r>
              <w:rPr>
                <w:rFonts w:hint="eastAsia" w:ascii="仿宋_GB2312" w:hAnsi="宋体" w:eastAsia="仿宋_GB2312" w:cs="仿宋_GB2312"/>
                <w:color w:val="auto"/>
                <w:sz w:val="21"/>
                <w:szCs w:val="21"/>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95" w:hRule="atLeast"/>
          <w:jc w:val="center"/>
        </w:trPr>
        <w:tc>
          <w:tcPr>
            <w:tcW w:w="1275" w:type="dxa"/>
            <w:vMerge w:val="continue"/>
            <w:tcBorders>
              <w:left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资金投入</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预算编制</w:t>
            </w:r>
          </w:p>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科学性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①预算内容与项目内容是否匹配（</w:t>
            </w:r>
            <w:r>
              <w:rPr>
                <w:rFonts w:hint="eastAsia" w:ascii="仿宋" w:hAnsi="仿宋" w:eastAsia="仿宋" w:cs="仿宋"/>
                <w:color w:val="auto"/>
                <w:kern w:val="0"/>
                <w:sz w:val="21"/>
                <w:szCs w:val="21"/>
                <w:lang w:val="en-US" w:eastAsia="zh-CN"/>
              </w:rPr>
              <w:t>2</w:t>
            </w:r>
            <w:r>
              <w:rPr>
                <w:rFonts w:hint="eastAsia" w:ascii="仿宋" w:hAnsi="仿宋" w:eastAsia="仿宋" w:cs="仿宋"/>
                <w:color w:val="auto"/>
                <w:kern w:val="0"/>
                <w:sz w:val="21"/>
                <w:szCs w:val="21"/>
              </w:rPr>
              <w:t>分）；</w:t>
            </w:r>
            <w:r>
              <w:rPr>
                <w:rFonts w:hint="eastAsia" w:ascii="仿宋" w:hAnsi="仿宋" w:eastAsia="仿宋" w:cs="仿宋"/>
                <w:color w:val="auto"/>
                <w:kern w:val="0"/>
                <w:sz w:val="21"/>
                <w:szCs w:val="21"/>
                <w:lang w:eastAsia="zh-CN"/>
              </w:rPr>
              <w:t>②</w:t>
            </w:r>
            <w:r>
              <w:rPr>
                <w:rFonts w:hint="eastAsia" w:ascii="仿宋" w:hAnsi="仿宋" w:eastAsia="仿宋" w:cs="仿宋"/>
                <w:color w:val="auto"/>
                <w:kern w:val="0"/>
                <w:sz w:val="21"/>
                <w:szCs w:val="21"/>
              </w:rPr>
              <w:t>预算额度测算依据是否充分，是否按照标准编制（1分）；</w:t>
            </w:r>
            <w:r>
              <w:rPr>
                <w:rFonts w:hint="eastAsia" w:ascii="仿宋" w:hAnsi="仿宋" w:eastAsia="仿宋" w:cs="仿宋"/>
                <w:color w:val="auto"/>
                <w:kern w:val="0"/>
                <w:sz w:val="21"/>
                <w:szCs w:val="21"/>
                <w:lang w:eastAsia="zh-CN"/>
              </w:rPr>
              <w:t>③</w:t>
            </w:r>
            <w:r>
              <w:rPr>
                <w:rFonts w:hint="eastAsia" w:ascii="仿宋" w:hAnsi="仿宋" w:eastAsia="仿宋" w:cs="仿宋"/>
                <w:color w:val="auto"/>
                <w:kern w:val="0"/>
                <w:sz w:val="21"/>
                <w:szCs w:val="21"/>
              </w:rPr>
              <w:t>预算确定的项目投资额或资金量是否与工作任务相匹配（1分）。符合则按照各项分值得分，不符合则按照各项分值扣分，扣完为止。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4</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_GB2312" w:hAnsi="宋体" w:eastAsia="仿宋_GB2312" w:cs="仿宋_GB2312"/>
                <w:color w:val="auto"/>
                <w:sz w:val="21"/>
                <w:szCs w:val="21"/>
                <w:lang w:eastAsia="zh-CN"/>
              </w:rPr>
              <w:t>预算内容与项目内容相匹配，预算额度根据标准编制，项目投资资金与工作内容相匹配，得满分。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15" w:hRule="atLeast"/>
          <w:jc w:val="center"/>
        </w:trPr>
        <w:tc>
          <w:tcPr>
            <w:tcW w:w="1275" w:type="dxa"/>
            <w:vMerge w:val="continue"/>
            <w:tcBorders>
              <w:left w:val="single" w:color="000000" w:sz="4" w:space="0"/>
              <w:bottom w:val="single" w:color="000000" w:sz="4" w:space="0"/>
              <w:right w:val="single" w:color="000000" w:sz="4" w:space="0"/>
            </w:tcBorders>
            <w:vAlign w:val="center"/>
          </w:tcPr>
          <w:p>
            <w:pPr>
              <w:widowControl/>
              <w:spacing w:line="300" w:lineRule="exact"/>
              <w:jc w:val="left"/>
              <w:rPr>
                <w:rFonts w:hint="eastAsia" w:ascii="仿宋" w:hAnsi="仿宋" w:eastAsia="仿宋" w:cs="仿宋"/>
                <w:color w:val="auto"/>
                <w:kern w:val="0"/>
                <w:sz w:val="24"/>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资金分配</w:t>
            </w:r>
          </w:p>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合理性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①预算资金分配依据是否充分</w:t>
            </w:r>
            <w:r>
              <w:rPr>
                <w:rFonts w:hint="eastAsia" w:ascii="仿宋" w:hAnsi="仿宋" w:eastAsia="仿宋" w:cs="仿宋"/>
                <w:color w:val="auto"/>
                <w:kern w:val="0"/>
                <w:sz w:val="21"/>
                <w:szCs w:val="21"/>
                <w:lang w:eastAsia="zh-CN"/>
              </w:rPr>
              <w:t>（</w:t>
            </w:r>
            <w:r>
              <w:rPr>
                <w:rFonts w:hint="eastAsia" w:ascii="仿宋" w:hAnsi="仿宋" w:eastAsia="仿宋" w:cs="仿宋"/>
                <w:color w:val="auto"/>
                <w:kern w:val="0"/>
                <w:sz w:val="21"/>
                <w:szCs w:val="21"/>
                <w:lang w:val="en-US" w:eastAsia="zh-CN"/>
              </w:rPr>
              <w:t>2</w:t>
            </w:r>
            <w:r>
              <w:rPr>
                <w:rFonts w:hint="eastAsia" w:ascii="仿宋" w:hAnsi="仿宋" w:eastAsia="仿宋" w:cs="仿宋"/>
                <w:color w:val="auto"/>
                <w:kern w:val="0"/>
                <w:sz w:val="21"/>
                <w:szCs w:val="21"/>
              </w:rPr>
              <w:t>分）；②资金分配额度是否合理，与项目单位或地方实际是否相适应（1分）。符合则按照各项分值得分，不符合则按照各项分值扣分，扣完为止。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eastAsia="zh-CN"/>
              </w:rPr>
              <w:t>资金分配依据及分配额度合理，得满分。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205" w:hRule="atLeast"/>
          <w:jc w:val="center"/>
        </w:trPr>
        <w:tc>
          <w:tcPr>
            <w:tcW w:w="1275"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过程（</w:t>
            </w:r>
            <w:r>
              <w:rPr>
                <w:rFonts w:hint="eastAsia" w:ascii="仿宋" w:hAnsi="仿宋" w:eastAsia="仿宋" w:cs="仿宋"/>
                <w:color w:val="auto"/>
                <w:kern w:val="0"/>
                <w:sz w:val="24"/>
                <w:lang w:val="en-US" w:eastAsia="zh-CN"/>
              </w:rPr>
              <w:t>18</w:t>
            </w:r>
            <w:r>
              <w:rPr>
                <w:rFonts w:hint="eastAsia" w:ascii="仿宋" w:hAnsi="仿宋" w:eastAsia="仿宋" w:cs="仿宋"/>
                <w:color w:val="auto"/>
                <w:kern w:val="0"/>
                <w:sz w:val="24"/>
              </w:rPr>
              <w:t>%）</w:t>
            </w:r>
          </w:p>
          <w:p>
            <w:pPr>
              <w:spacing w:line="320" w:lineRule="exact"/>
              <w:jc w:val="center"/>
              <w:rPr>
                <w:rFonts w:hint="eastAsia" w:ascii="仿宋" w:hAnsi="仿宋" w:eastAsia="仿宋" w:cs="仿宋"/>
                <w:color w:val="auto"/>
                <w:kern w:val="0"/>
                <w:sz w:val="24"/>
              </w:rPr>
            </w:pPr>
          </w:p>
        </w:tc>
        <w:tc>
          <w:tcPr>
            <w:tcW w:w="1260" w:type="dxa"/>
            <w:vMerge w:val="restart"/>
            <w:tcBorders>
              <w:top w:val="single" w:color="000000" w:sz="4" w:space="0"/>
              <w:left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资金管理</w:t>
            </w:r>
          </w:p>
          <w:p>
            <w:pPr>
              <w:spacing w:line="320" w:lineRule="exact"/>
              <w:jc w:val="center"/>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资金</w:t>
            </w:r>
          </w:p>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到位率</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资金到位率＝（实际到位资金／预算安排资金）×100％。</w:t>
            </w:r>
            <w:r>
              <w:rPr>
                <w:rFonts w:hint="eastAsia" w:ascii="仿宋" w:hAnsi="仿宋" w:eastAsia="仿宋" w:cs="仿宋"/>
                <w:color w:val="auto"/>
                <w:kern w:val="0"/>
                <w:sz w:val="21"/>
                <w:szCs w:val="21"/>
                <w:lang w:eastAsia="zh-CN" w:bidi="ar"/>
              </w:rPr>
              <w:t>根据完成情况占设定指标的比例得分</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100%得满分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预算安排资金600万元，实际到位资金1297.41万元，1297.41/600*100%=216.24%</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170" w:hRule="atLeast"/>
          <w:jc w:val="center"/>
        </w:trPr>
        <w:tc>
          <w:tcPr>
            <w:tcW w:w="1275" w:type="dxa"/>
            <w:vMerge w:val="continue"/>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left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预算执行率</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预算执行率＝（实际支出资金／实际到位资金）×100％。</w:t>
            </w:r>
            <w:r>
              <w:rPr>
                <w:rFonts w:hint="eastAsia" w:ascii="仿宋" w:hAnsi="仿宋" w:eastAsia="仿宋" w:cs="仿宋"/>
                <w:color w:val="auto"/>
                <w:kern w:val="0"/>
                <w:sz w:val="21"/>
                <w:szCs w:val="21"/>
                <w:lang w:eastAsia="zh-CN" w:bidi="ar"/>
              </w:rPr>
              <w:t>根据完成情况占设定指标的比例得分</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100%得满分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实际到位资金1297.41万元，实际支出资金1297.41万元，1297.41/1297.41*100%=100%</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575" w:hRule="atLeast"/>
          <w:jc w:val="center"/>
        </w:trPr>
        <w:tc>
          <w:tcPr>
            <w:tcW w:w="1275" w:type="dxa"/>
            <w:vMerge w:val="continue"/>
            <w:tcBorders>
              <w:left w:val="single" w:color="000000" w:sz="4" w:space="0"/>
              <w:right w:val="single" w:color="000000" w:sz="4" w:space="0"/>
            </w:tcBorders>
            <w:vAlign w:val="center"/>
          </w:tcPr>
          <w:p>
            <w:pPr>
              <w:spacing w:line="320" w:lineRule="exact"/>
              <w:jc w:val="center"/>
              <w:rPr>
                <w:rFonts w:hint="eastAsia" w:ascii="仿宋" w:hAnsi="仿宋" w:eastAsia="仿宋" w:cs="仿宋"/>
                <w:color w:val="auto"/>
                <w:kern w:val="0"/>
                <w:sz w:val="24"/>
              </w:rPr>
            </w:pPr>
          </w:p>
        </w:tc>
        <w:tc>
          <w:tcPr>
            <w:tcW w:w="1260" w:type="dxa"/>
            <w:vMerge w:val="continue"/>
            <w:tcBorders>
              <w:left w:val="single" w:color="000000" w:sz="4" w:space="0"/>
              <w:bottom w:val="single" w:color="000000" w:sz="4" w:space="0"/>
              <w:right w:val="single" w:color="000000" w:sz="4" w:space="0"/>
            </w:tcBorders>
            <w:vAlign w:val="center"/>
          </w:tcPr>
          <w:p>
            <w:pPr>
              <w:spacing w:line="320" w:lineRule="exact"/>
              <w:jc w:val="center"/>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资金使用</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合规性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①是否符合国家财经法规和财务管理制度以及有关专项资金管理办法的规定（1分）；②资金的拨付是否有完整的审批程序和手续（1分）；③是否符合项目预算批复或合同规定的用途（1分）；④是否存在截留、挤占、挪用、虚列支出等情况（1分）。符合则按照各项分值得分，不符合则按照各项分值扣分，扣完为止。 </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4 </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_GB2312" w:hAnsi="宋体" w:eastAsia="仿宋_GB2312" w:cs="仿宋_GB2312"/>
                <w:color w:val="auto"/>
                <w:kern w:val="0"/>
                <w:sz w:val="21"/>
                <w:szCs w:val="21"/>
              </w:rPr>
              <w:t>资金拨付有完整审批程序和手续，符合项目预算批复或项目管理办法规定的用途，未发现超标准支出、截留、挤占、挪用、虚列支出等情况，且项目结算手续完备</w:t>
            </w:r>
            <w:r>
              <w:rPr>
                <w:rFonts w:hint="eastAsia" w:ascii="仿宋_GB2312" w:hAnsi="宋体" w:eastAsia="仿宋_GB2312" w:cs="仿宋_GB2312"/>
                <w:color w:val="auto"/>
                <w:kern w:val="0"/>
                <w:sz w:val="21"/>
                <w:szCs w:val="21"/>
                <w:lang w:eastAsia="zh-CN"/>
              </w:rPr>
              <w:t>，得满分</w:t>
            </w:r>
            <w:r>
              <w:rPr>
                <w:rFonts w:hint="eastAsia" w:ascii="仿宋_GB2312" w:hAnsi="宋体" w:eastAsia="仿宋_GB2312" w:cs="仿宋_GB2312"/>
                <w:color w:val="auto"/>
                <w:kern w:val="0"/>
                <w:sz w:val="21"/>
                <w:szCs w:val="21"/>
                <w:lang w:val="en-US" w:eastAsia="zh-CN"/>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815" w:hRule="atLeast"/>
          <w:jc w:val="center"/>
        </w:trPr>
        <w:tc>
          <w:tcPr>
            <w:tcW w:w="1275" w:type="dxa"/>
            <w:vMerge w:val="continue"/>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组织实施</w:t>
            </w: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管理制度</w:t>
            </w:r>
          </w:p>
          <w:p>
            <w:pPr>
              <w:widowControl/>
              <w:spacing w:line="30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健全性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①是否</w:t>
            </w:r>
            <w:r>
              <w:rPr>
                <w:rFonts w:hint="eastAsia" w:ascii="仿宋" w:hAnsi="仿宋" w:eastAsia="仿宋" w:cs="仿宋"/>
                <w:color w:val="auto"/>
                <w:kern w:val="0"/>
                <w:sz w:val="21"/>
                <w:szCs w:val="21"/>
                <w:lang w:eastAsia="zh-CN"/>
              </w:rPr>
              <w:t>有专项资金管理办法</w:t>
            </w:r>
            <w:r>
              <w:rPr>
                <w:rFonts w:hint="eastAsia" w:ascii="仿宋" w:hAnsi="仿宋" w:eastAsia="仿宋" w:cs="仿宋"/>
                <w:color w:val="auto"/>
                <w:kern w:val="0"/>
                <w:sz w:val="21"/>
                <w:szCs w:val="21"/>
              </w:rPr>
              <w:t>（</w:t>
            </w:r>
            <w:r>
              <w:rPr>
                <w:rFonts w:hint="eastAsia" w:ascii="仿宋" w:hAnsi="仿宋" w:eastAsia="仿宋" w:cs="仿宋"/>
                <w:color w:val="auto"/>
                <w:kern w:val="0"/>
                <w:sz w:val="21"/>
                <w:szCs w:val="21"/>
                <w:lang w:val="en-US" w:eastAsia="zh-CN"/>
              </w:rPr>
              <w:t>3</w:t>
            </w:r>
            <w:r>
              <w:rPr>
                <w:rFonts w:hint="eastAsia" w:ascii="仿宋" w:hAnsi="仿宋" w:eastAsia="仿宋" w:cs="仿宋"/>
                <w:color w:val="auto"/>
                <w:kern w:val="0"/>
                <w:sz w:val="21"/>
                <w:szCs w:val="21"/>
              </w:rPr>
              <w:t>分）；②</w:t>
            </w:r>
            <w:r>
              <w:rPr>
                <w:rFonts w:hint="eastAsia" w:ascii="仿宋" w:hAnsi="仿宋" w:eastAsia="仿宋" w:cs="仿宋"/>
                <w:color w:val="auto"/>
                <w:kern w:val="0"/>
                <w:sz w:val="21"/>
                <w:szCs w:val="21"/>
                <w:lang w:eastAsia="zh-CN"/>
              </w:rPr>
              <w:t>是否有</w:t>
            </w:r>
            <w:r>
              <w:rPr>
                <w:rFonts w:hint="eastAsia" w:ascii="仿宋" w:hAnsi="仿宋" w:eastAsia="仿宋" w:cs="仿宋"/>
                <w:color w:val="auto"/>
                <w:kern w:val="0"/>
                <w:sz w:val="21"/>
                <w:szCs w:val="21"/>
              </w:rPr>
              <w:t>财务和业务管理制度（</w:t>
            </w:r>
            <w:r>
              <w:rPr>
                <w:rFonts w:hint="eastAsia" w:ascii="仿宋" w:hAnsi="仿宋" w:eastAsia="仿宋" w:cs="仿宋"/>
                <w:color w:val="auto"/>
                <w:kern w:val="0"/>
                <w:sz w:val="21"/>
                <w:szCs w:val="21"/>
                <w:lang w:val="en-US" w:eastAsia="zh-CN"/>
              </w:rPr>
              <w:t>1</w:t>
            </w:r>
            <w:r>
              <w:rPr>
                <w:rFonts w:hint="eastAsia" w:ascii="仿宋" w:hAnsi="仿宋" w:eastAsia="仿宋" w:cs="仿宋"/>
                <w:color w:val="auto"/>
                <w:kern w:val="0"/>
                <w:sz w:val="21"/>
                <w:szCs w:val="21"/>
              </w:rPr>
              <w:t>分）。</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未设置科技局专有的资金管理办法,扣3分。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635" w:hRule="atLeast"/>
          <w:jc w:val="center"/>
        </w:trPr>
        <w:tc>
          <w:tcPr>
            <w:tcW w:w="1275" w:type="dxa"/>
            <w:vMerge w:val="continue"/>
            <w:tcBorders>
              <w:left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制度执行</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有效性</w:t>
            </w:r>
          </w:p>
        </w:tc>
        <w:tc>
          <w:tcPr>
            <w:tcW w:w="509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①是否遵守相关法律法规和相关管理规定（</w:t>
            </w:r>
            <w:r>
              <w:rPr>
                <w:rFonts w:hint="eastAsia" w:ascii="仿宋" w:hAnsi="仿宋" w:eastAsia="仿宋" w:cs="仿宋"/>
                <w:color w:val="auto"/>
                <w:kern w:val="0"/>
                <w:sz w:val="21"/>
                <w:szCs w:val="21"/>
                <w:lang w:val="en-US" w:eastAsia="zh-CN"/>
              </w:rPr>
              <w:t>0.5</w:t>
            </w:r>
            <w:r>
              <w:rPr>
                <w:rFonts w:hint="eastAsia" w:ascii="仿宋" w:hAnsi="仿宋" w:eastAsia="仿宋" w:cs="仿宋"/>
                <w:color w:val="auto"/>
                <w:kern w:val="0"/>
                <w:sz w:val="21"/>
                <w:szCs w:val="21"/>
              </w:rPr>
              <w:t>分）；②项目调整及支出调整手续是否完备（</w:t>
            </w:r>
            <w:r>
              <w:rPr>
                <w:rFonts w:hint="eastAsia" w:ascii="仿宋" w:hAnsi="仿宋" w:eastAsia="仿宋" w:cs="仿宋"/>
                <w:color w:val="auto"/>
                <w:kern w:val="0"/>
                <w:sz w:val="21"/>
                <w:szCs w:val="21"/>
                <w:lang w:val="en-US" w:eastAsia="zh-CN"/>
              </w:rPr>
              <w:t>0.5</w:t>
            </w:r>
            <w:r>
              <w:rPr>
                <w:rFonts w:hint="eastAsia" w:ascii="仿宋" w:hAnsi="仿宋" w:eastAsia="仿宋" w:cs="仿宋"/>
                <w:color w:val="auto"/>
                <w:kern w:val="0"/>
                <w:sz w:val="21"/>
                <w:szCs w:val="21"/>
              </w:rPr>
              <w:t>分）</w:t>
            </w:r>
            <w:r>
              <w:rPr>
                <w:rFonts w:hint="eastAsia" w:ascii="仿宋" w:hAnsi="仿宋" w:eastAsia="仿宋" w:cs="仿宋"/>
                <w:color w:val="auto"/>
                <w:kern w:val="0"/>
                <w:sz w:val="21"/>
                <w:szCs w:val="21"/>
                <w:lang w:eastAsia="zh-CN"/>
              </w:rPr>
              <w:t>③是否有成立</w:t>
            </w:r>
            <w:r>
              <w:rPr>
                <w:rFonts w:hint="eastAsia" w:ascii="仿宋" w:hAnsi="仿宋" w:eastAsia="仿宋" w:cs="仿宋"/>
                <w:color w:val="auto"/>
                <w:kern w:val="0"/>
                <w:sz w:val="21"/>
                <w:szCs w:val="21"/>
              </w:rPr>
              <w:t>预算绩效管理领导小组（</w:t>
            </w:r>
            <w:r>
              <w:rPr>
                <w:rFonts w:hint="eastAsia" w:ascii="仿宋" w:hAnsi="仿宋" w:eastAsia="仿宋" w:cs="仿宋"/>
                <w:color w:val="auto"/>
                <w:kern w:val="0"/>
                <w:sz w:val="21"/>
                <w:szCs w:val="21"/>
                <w:lang w:val="en-US" w:eastAsia="zh-CN"/>
              </w:rPr>
              <w:t>2</w:t>
            </w:r>
            <w:r>
              <w:rPr>
                <w:rFonts w:hint="eastAsia" w:ascii="仿宋" w:hAnsi="仿宋" w:eastAsia="仿宋" w:cs="仿宋"/>
                <w:color w:val="auto"/>
                <w:kern w:val="0"/>
                <w:sz w:val="21"/>
                <w:szCs w:val="21"/>
              </w:rPr>
              <w:t>分）；</w:t>
            </w:r>
            <w:r>
              <w:rPr>
                <w:rFonts w:hint="eastAsia" w:ascii="仿宋" w:hAnsi="仿宋" w:eastAsia="仿宋" w:cs="仿宋"/>
                <w:color w:val="auto"/>
                <w:kern w:val="0"/>
                <w:sz w:val="21"/>
                <w:szCs w:val="21"/>
                <w:lang w:eastAsia="zh-CN"/>
              </w:rPr>
              <w:t>④是否</w:t>
            </w:r>
            <w:r>
              <w:rPr>
                <w:rFonts w:hint="eastAsia" w:ascii="仿宋" w:hAnsi="仿宋" w:eastAsia="仿宋" w:cs="仿宋"/>
                <w:color w:val="auto"/>
                <w:kern w:val="0"/>
                <w:sz w:val="21"/>
                <w:szCs w:val="21"/>
              </w:rPr>
              <w:t>实质性开展绩效管理工作（</w:t>
            </w:r>
            <w:r>
              <w:rPr>
                <w:rFonts w:hint="eastAsia" w:ascii="仿宋" w:hAnsi="仿宋" w:eastAsia="仿宋" w:cs="仿宋"/>
                <w:color w:val="auto"/>
                <w:kern w:val="0"/>
                <w:sz w:val="21"/>
                <w:szCs w:val="21"/>
                <w:lang w:val="en-US" w:eastAsia="zh-CN"/>
              </w:rPr>
              <w:t>1</w:t>
            </w:r>
            <w:r>
              <w:rPr>
                <w:rFonts w:hint="eastAsia" w:ascii="仿宋" w:hAnsi="仿宋" w:eastAsia="仿宋" w:cs="仿宋"/>
                <w:color w:val="auto"/>
                <w:kern w:val="0"/>
                <w:sz w:val="21"/>
                <w:szCs w:val="21"/>
              </w:rPr>
              <w:t>分）；不符合则按照各项分值扣分，扣完为止。</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基本依照制度执行，成立预算领导小组，并如期开展绩效管理工作，得满分。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197" w:hRule="atLeast"/>
          <w:jc w:val="center"/>
        </w:trPr>
        <w:tc>
          <w:tcPr>
            <w:tcW w:w="1275" w:type="dxa"/>
            <w:vMerge w:val="restart"/>
            <w:tcBorders>
              <w:top w:val="single" w:color="auto"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产出</w:t>
            </w:r>
          </w:p>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val="en-US" w:eastAsia="zh-CN"/>
              </w:rPr>
              <w:t>26</w:t>
            </w:r>
            <w:r>
              <w:rPr>
                <w:rFonts w:hint="eastAsia" w:ascii="仿宋" w:hAnsi="仿宋" w:eastAsia="仿宋" w:cs="仿宋"/>
                <w:color w:val="auto"/>
                <w:kern w:val="0"/>
                <w:sz w:val="24"/>
              </w:rPr>
              <w:t>%）</w:t>
            </w:r>
          </w:p>
          <w:p>
            <w:pPr>
              <w:widowControl/>
              <w:spacing w:line="320" w:lineRule="exact"/>
              <w:jc w:val="left"/>
              <w:rPr>
                <w:rFonts w:hint="eastAsia" w:ascii="仿宋" w:hAnsi="仿宋" w:eastAsia="仿宋" w:cs="仿宋"/>
                <w:color w:val="auto"/>
                <w:kern w:val="0"/>
                <w:sz w:val="24"/>
              </w:rPr>
            </w:pPr>
          </w:p>
        </w:tc>
        <w:tc>
          <w:tcPr>
            <w:tcW w:w="1260" w:type="dxa"/>
            <w:vMerge w:val="restart"/>
            <w:tcBorders>
              <w:top w:val="single" w:color="auto"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产出数量</w:t>
            </w: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奖励新增入库省级高新技术企业数量</w:t>
            </w:r>
          </w:p>
        </w:tc>
        <w:tc>
          <w:tcPr>
            <w:tcW w:w="5093" w:type="dxa"/>
            <w:tcBorders>
              <w:top w:val="single" w:color="auto" w:sz="4" w:space="0"/>
              <w:bottom w:val="single" w:color="auto" w:sz="4" w:space="0"/>
            </w:tcBorders>
            <w:vAlign w:val="center"/>
          </w:tcPr>
          <w:p>
            <w:pPr>
              <w:keepNext w:val="0"/>
              <w:keepLines w:val="0"/>
              <w:widowControl/>
              <w:suppressLineNumbers w:val="0"/>
              <w:jc w:val="left"/>
              <w:textAlignment w:val="center"/>
              <w:rPr>
                <w:rFonts w:hint="eastAsia" w:ascii="仿宋" w:hAnsi="仿宋" w:eastAsia="仿宋" w:cs="仿宋"/>
                <w:color w:val="auto"/>
                <w:kern w:val="0"/>
                <w:sz w:val="21"/>
                <w:szCs w:val="21"/>
                <w:lang w:val="en-US"/>
              </w:rPr>
            </w:pPr>
            <w:r>
              <w:rPr>
                <w:rFonts w:hint="eastAsia" w:ascii="仿宋" w:hAnsi="仿宋" w:eastAsia="仿宋" w:cs="仿宋"/>
                <w:i w:val="0"/>
                <w:iCs w:val="0"/>
                <w:color w:val="auto"/>
                <w:kern w:val="0"/>
                <w:sz w:val="21"/>
                <w:szCs w:val="21"/>
                <w:u w:val="none"/>
                <w:lang w:val="en-US" w:eastAsia="zh-CN" w:bidi="ar"/>
              </w:rPr>
              <w:t>年度完成指标值为36家，</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9家扣1分（9家以内扣0.5分），</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w:t>
            </w:r>
            <w:r>
              <w:rPr>
                <w:rFonts w:hint="eastAsia" w:ascii="仿宋" w:hAnsi="仿宋" w:eastAsia="仿宋" w:cs="仿宋"/>
                <w:color w:val="auto"/>
                <w:kern w:val="0"/>
                <w:sz w:val="21"/>
                <w:szCs w:val="21"/>
                <w:lang w:eastAsia="zh-CN"/>
              </w:rPr>
              <w:t>奖励新增入库省级高新技术企业数量</w:t>
            </w:r>
            <w:r>
              <w:rPr>
                <w:rFonts w:hint="eastAsia" w:ascii="仿宋" w:hAnsi="仿宋" w:eastAsia="仿宋" w:cs="仿宋"/>
                <w:color w:val="auto"/>
                <w:kern w:val="0"/>
                <w:sz w:val="21"/>
                <w:szCs w:val="21"/>
                <w:lang w:val="en-US" w:eastAsia="zh-CN"/>
              </w:rPr>
              <w:t>38家，得满分，合计奖补金额378.28万元</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090" w:hRule="atLeast"/>
          <w:jc w:val="center"/>
        </w:trPr>
        <w:tc>
          <w:tcPr>
            <w:tcW w:w="1275" w:type="dxa"/>
            <w:vMerge w:val="continue"/>
            <w:vAlign w:val="center"/>
          </w:tcPr>
          <w:p>
            <w:pPr>
              <w:widowControl/>
              <w:spacing w:line="320" w:lineRule="exact"/>
              <w:jc w:val="left"/>
              <w:rPr>
                <w:rFonts w:hint="eastAsia" w:ascii="仿宋" w:hAnsi="仿宋" w:eastAsia="仿宋" w:cs="仿宋"/>
                <w:color w:val="auto"/>
                <w:kern w:val="0"/>
                <w:sz w:val="24"/>
              </w:rPr>
            </w:pPr>
          </w:p>
        </w:tc>
        <w:tc>
          <w:tcPr>
            <w:tcW w:w="1260" w:type="dxa"/>
            <w:vMerge w:val="continue"/>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奖励出库省级高新技术企业数量</w:t>
            </w:r>
          </w:p>
        </w:tc>
        <w:tc>
          <w:tcPr>
            <w:tcW w:w="5093" w:type="dxa"/>
            <w:tcBorders>
              <w:top w:val="single" w:color="auto" w:sz="4" w:space="0"/>
              <w:bottom w:val="single" w:color="auto" w:sz="4" w:space="0"/>
            </w:tcBorders>
            <w:vAlign w:val="center"/>
          </w:tcPr>
          <w:p>
            <w:pPr>
              <w:keepNext w:val="0"/>
              <w:keepLines w:val="0"/>
              <w:widowControl/>
              <w:suppressLineNumbers w:val="0"/>
              <w:jc w:val="both"/>
              <w:textAlignment w:val="center"/>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年度完成指标值为25家，</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6家扣1分（6家以内扣0.5分），</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w:t>
            </w:r>
            <w:r>
              <w:rPr>
                <w:rFonts w:hint="eastAsia" w:ascii="仿宋" w:hAnsi="仿宋" w:eastAsia="仿宋" w:cs="仿宋"/>
                <w:color w:val="auto"/>
                <w:kern w:val="0"/>
                <w:sz w:val="21"/>
                <w:szCs w:val="21"/>
                <w:lang w:eastAsia="zh-CN"/>
              </w:rPr>
              <w:t>奖励出库省级高新技术企业</w:t>
            </w:r>
            <w:r>
              <w:rPr>
                <w:rFonts w:hint="eastAsia" w:ascii="仿宋" w:hAnsi="仿宋" w:eastAsia="仿宋" w:cs="仿宋"/>
                <w:color w:val="auto"/>
                <w:kern w:val="0"/>
                <w:sz w:val="21"/>
                <w:szCs w:val="21"/>
                <w:lang w:val="en-US" w:eastAsia="zh-CN"/>
              </w:rPr>
              <w:t>26家，合计金额198.00万元，得满分。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090" w:hRule="atLeast"/>
          <w:jc w:val="center"/>
        </w:trPr>
        <w:tc>
          <w:tcPr>
            <w:tcW w:w="1275" w:type="dxa"/>
            <w:vMerge w:val="continue"/>
            <w:vAlign w:val="center"/>
          </w:tcPr>
          <w:p>
            <w:pPr>
              <w:widowControl/>
              <w:spacing w:line="320" w:lineRule="exact"/>
              <w:jc w:val="left"/>
              <w:rPr>
                <w:rFonts w:hint="eastAsia" w:ascii="仿宋" w:hAnsi="仿宋" w:eastAsia="仿宋" w:cs="仿宋"/>
                <w:color w:val="auto"/>
                <w:kern w:val="0"/>
                <w:sz w:val="24"/>
              </w:rPr>
            </w:pPr>
          </w:p>
        </w:tc>
        <w:tc>
          <w:tcPr>
            <w:tcW w:w="1260" w:type="dxa"/>
            <w:vMerge w:val="continue"/>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新增认定省级科技企业孵化器数量</w:t>
            </w:r>
          </w:p>
        </w:tc>
        <w:tc>
          <w:tcPr>
            <w:tcW w:w="5093" w:type="dxa"/>
            <w:tcBorders>
              <w:top w:val="single" w:color="auto" w:sz="4" w:space="0"/>
              <w:bottom w:val="single" w:color="auto" w:sz="4" w:space="0"/>
            </w:tcBorders>
            <w:vAlign w:val="center"/>
          </w:tcPr>
          <w:p>
            <w:pPr>
              <w:keepNext w:val="0"/>
              <w:keepLines w:val="0"/>
              <w:widowControl/>
              <w:suppressLineNumbers w:val="0"/>
              <w:jc w:val="left"/>
              <w:textAlignment w:val="center"/>
              <w:rPr>
                <w:rFonts w:hint="eastAsia" w:ascii="仿宋" w:hAnsi="仿宋" w:eastAsia="仿宋" w:cs="仿宋"/>
                <w:color w:val="auto"/>
                <w:kern w:val="0"/>
                <w:sz w:val="21"/>
                <w:szCs w:val="21"/>
                <w:lang w:val="en-US"/>
              </w:rPr>
            </w:pPr>
            <w:r>
              <w:rPr>
                <w:rFonts w:hint="eastAsia" w:ascii="仿宋" w:hAnsi="仿宋" w:eastAsia="仿宋" w:cs="仿宋"/>
                <w:i w:val="0"/>
                <w:iCs w:val="0"/>
                <w:color w:val="auto"/>
                <w:kern w:val="0"/>
                <w:sz w:val="21"/>
                <w:szCs w:val="21"/>
                <w:u w:val="none"/>
                <w:lang w:val="en-US" w:eastAsia="zh-CN" w:bidi="ar"/>
              </w:rPr>
              <w:t>年度完成指标值为1家，</w:t>
            </w:r>
            <w:r>
              <w:rPr>
                <w:rFonts w:hint="eastAsia" w:ascii="仿宋" w:hAnsi="仿宋" w:eastAsia="仿宋" w:cs="仿宋"/>
                <w:color w:val="auto"/>
                <w:kern w:val="0"/>
                <w:sz w:val="21"/>
                <w:szCs w:val="21"/>
                <w:lang w:eastAsia="zh-CN" w:bidi="ar"/>
              </w:rPr>
              <w:t>没完成不得分</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0</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2019年没有新增认定省级科技企业孵化器数量，不得分。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1275" w:type="dxa"/>
            <w:vMerge w:val="continue"/>
            <w:vAlign w:val="center"/>
          </w:tcPr>
          <w:p>
            <w:pPr>
              <w:widowControl/>
              <w:spacing w:line="320" w:lineRule="exact"/>
              <w:jc w:val="left"/>
              <w:rPr>
                <w:rFonts w:hint="eastAsia" w:ascii="仿宋" w:hAnsi="仿宋" w:eastAsia="仿宋" w:cs="仿宋"/>
                <w:color w:val="auto"/>
                <w:kern w:val="0"/>
                <w:sz w:val="24"/>
              </w:rPr>
            </w:pPr>
          </w:p>
        </w:tc>
        <w:tc>
          <w:tcPr>
            <w:tcW w:w="1260" w:type="dxa"/>
            <w:vMerge w:val="continue"/>
            <w:tcBorders>
              <w:bottom w:val="single" w:color="auto" w:sz="4" w:space="0"/>
            </w:tcBorders>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新增省级众创空间数量</w:t>
            </w:r>
          </w:p>
        </w:tc>
        <w:tc>
          <w:tcPr>
            <w:tcW w:w="5093" w:type="dxa"/>
            <w:tcBorders>
              <w:top w:val="single" w:color="auto" w:sz="4" w:space="0"/>
              <w:bottom w:val="single" w:color="auto" w:sz="4" w:space="0"/>
            </w:tcBorders>
            <w:vAlign w:val="center"/>
          </w:tcPr>
          <w:p>
            <w:pPr>
              <w:keepNext w:val="0"/>
              <w:keepLines w:val="0"/>
              <w:widowControl/>
              <w:suppressLineNumbers w:val="0"/>
              <w:jc w:val="left"/>
              <w:textAlignment w:val="center"/>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年度完成指标值为1家，</w:t>
            </w:r>
            <w:r>
              <w:rPr>
                <w:rFonts w:hint="eastAsia" w:ascii="仿宋" w:hAnsi="仿宋" w:eastAsia="仿宋" w:cs="仿宋"/>
                <w:color w:val="auto"/>
                <w:kern w:val="0"/>
                <w:sz w:val="21"/>
                <w:szCs w:val="21"/>
                <w:lang w:eastAsia="zh-CN" w:bidi="ar"/>
              </w:rPr>
              <w:t>没完成不得分</w:t>
            </w:r>
            <w:r>
              <w:rPr>
                <w:rFonts w:hint="eastAsia" w:ascii="仿宋" w:hAnsi="仿宋" w:eastAsia="仿宋" w:cs="仿宋"/>
                <w:color w:val="auto"/>
                <w:kern w:val="0"/>
                <w:sz w:val="21"/>
                <w:szCs w:val="21"/>
                <w:highlight w:val="none"/>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w:t>
            </w:r>
            <w:r>
              <w:rPr>
                <w:rFonts w:hint="eastAsia" w:ascii="仿宋" w:hAnsi="仿宋" w:eastAsia="仿宋" w:cs="仿宋"/>
                <w:color w:val="auto"/>
                <w:kern w:val="0"/>
                <w:sz w:val="21"/>
                <w:szCs w:val="21"/>
                <w:lang w:eastAsia="zh-CN"/>
              </w:rPr>
              <w:t>新增省级众创空间</w:t>
            </w:r>
            <w:r>
              <w:rPr>
                <w:rFonts w:hint="eastAsia" w:ascii="仿宋" w:hAnsi="仿宋" w:eastAsia="仿宋" w:cs="仿宋"/>
                <w:color w:val="auto"/>
                <w:kern w:val="0"/>
                <w:sz w:val="21"/>
                <w:szCs w:val="21"/>
                <w:lang w:val="en-US" w:eastAsia="zh-CN"/>
              </w:rPr>
              <w:t>1家，得满分。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113" w:hRule="atLeast"/>
          <w:jc w:val="center"/>
        </w:trPr>
        <w:tc>
          <w:tcPr>
            <w:tcW w:w="1275" w:type="dxa"/>
            <w:vMerge w:val="continue"/>
            <w:vAlign w:val="center"/>
          </w:tcPr>
          <w:p>
            <w:pPr>
              <w:widowControl/>
              <w:spacing w:line="320" w:lineRule="exact"/>
              <w:jc w:val="left"/>
              <w:rPr>
                <w:rFonts w:hint="eastAsia" w:ascii="仿宋" w:hAnsi="仿宋" w:eastAsia="仿宋" w:cs="仿宋"/>
                <w:color w:val="auto"/>
                <w:kern w:val="0"/>
                <w:sz w:val="24"/>
              </w:rPr>
            </w:pPr>
          </w:p>
        </w:tc>
        <w:tc>
          <w:tcPr>
            <w:tcW w:w="126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产出质量</w:t>
            </w:r>
          </w:p>
        </w:tc>
        <w:tc>
          <w:tcPr>
            <w:tcW w:w="1686"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三明市有效省级高新技术企业数量</w:t>
            </w:r>
          </w:p>
        </w:tc>
        <w:tc>
          <w:tcPr>
            <w:tcW w:w="5093" w:type="dxa"/>
            <w:tcBorders>
              <w:top w:val="single" w:color="auto" w:sz="4" w:space="0"/>
              <w:bottom w:val="single" w:color="auto" w:sz="4" w:space="0"/>
            </w:tcBorders>
            <w:vAlign w:val="center"/>
          </w:tcPr>
          <w:p>
            <w:pPr>
              <w:widowControl/>
              <w:spacing w:line="320" w:lineRule="exact"/>
              <w:jc w:val="both"/>
              <w:rPr>
                <w:rFonts w:hint="eastAsia" w:ascii="仿宋" w:hAnsi="仿宋" w:eastAsia="仿宋" w:cs="仿宋"/>
                <w:color w:val="auto"/>
                <w:kern w:val="0"/>
                <w:sz w:val="21"/>
                <w:szCs w:val="21"/>
                <w:lang w:eastAsia="zh-CN"/>
              </w:rPr>
            </w:pPr>
            <w:r>
              <w:rPr>
                <w:rFonts w:hint="eastAsia" w:ascii="仿宋" w:hAnsi="仿宋" w:eastAsia="仿宋" w:cs="仿宋"/>
                <w:i w:val="0"/>
                <w:iCs w:val="0"/>
                <w:color w:val="auto"/>
                <w:kern w:val="0"/>
                <w:sz w:val="21"/>
                <w:szCs w:val="21"/>
                <w:u w:val="none"/>
                <w:lang w:val="en-US" w:eastAsia="zh-CN" w:bidi="ar"/>
              </w:rPr>
              <w:t>年度完成指标值为80家，</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20家扣1分（20家以内扣0.5分），</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2019年三明市有效省级高新技术企业数量为81家，得满分。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078" w:hRule="atLeast"/>
          <w:jc w:val="center"/>
        </w:trPr>
        <w:tc>
          <w:tcPr>
            <w:tcW w:w="1275" w:type="dxa"/>
            <w:vMerge w:val="continue"/>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left w:val="single" w:color="auto" w:sz="4" w:space="0"/>
              <w:right w:val="single" w:color="auto" w:sz="4" w:space="0"/>
            </w:tcBorders>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三明市有效国家高新技术企业数量</w:t>
            </w:r>
          </w:p>
        </w:tc>
        <w:tc>
          <w:tcPr>
            <w:tcW w:w="5093" w:type="dxa"/>
            <w:tcBorders>
              <w:top w:val="single" w:color="auto" w:sz="4" w:space="0"/>
              <w:bottom w:val="single" w:color="auto" w:sz="4" w:space="0"/>
            </w:tcBorders>
            <w:vAlign w:val="center"/>
          </w:tcPr>
          <w:p>
            <w:pPr>
              <w:widowControl/>
              <w:spacing w:line="320" w:lineRule="exact"/>
              <w:jc w:val="both"/>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年度完成指标值为115家，</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30家扣1分（30家以内扣0.5分），</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2019年三明市有效国家高新技术企业数量为118家，得满分。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078" w:hRule="atLeast"/>
          <w:jc w:val="center"/>
        </w:trPr>
        <w:tc>
          <w:tcPr>
            <w:tcW w:w="1275" w:type="dxa"/>
            <w:vMerge w:val="continue"/>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tcBorders>
              <w:left w:val="single" w:color="auto" w:sz="4" w:space="0"/>
              <w:right w:val="single" w:color="auto" w:sz="4" w:space="0"/>
            </w:tcBorders>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left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三明市经认定省级新型研发机构数量</w:t>
            </w:r>
          </w:p>
        </w:tc>
        <w:tc>
          <w:tcPr>
            <w:tcW w:w="5093" w:type="dxa"/>
            <w:tcBorders>
              <w:top w:val="single" w:color="auto" w:sz="4" w:space="0"/>
              <w:bottom w:val="single" w:color="auto" w:sz="4" w:space="0"/>
            </w:tcBorders>
            <w:vAlign w:val="center"/>
          </w:tcPr>
          <w:p>
            <w:pPr>
              <w:widowControl/>
              <w:spacing w:line="320" w:lineRule="exact"/>
              <w:jc w:val="both"/>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年度完成指标值为8个，</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2家扣1分（2家以内扣0.5分），</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2019年三明市经认定省级新型研发机构数量为9家，得满分。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550" w:hRule="atLeast"/>
          <w:jc w:val="center"/>
        </w:trPr>
        <w:tc>
          <w:tcPr>
            <w:tcW w:w="1275" w:type="dxa"/>
            <w:vMerge w:val="restart"/>
            <w:tcBorders>
              <w:top w:val="single" w:color="auto" w:sz="4" w:space="0"/>
            </w:tcBorders>
            <w:shd w:val="clear" w:color="auto" w:fill="auto"/>
            <w:vAlign w:val="center"/>
          </w:tcPr>
          <w:p>
            <w:pPr>
              <w:widowControl/>
              <w:spacing w:line="28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效益（</w:t>
            </w:r>
            <w:r>
              <w:rPr>
                <w:rFonts w:hint="eastAsia" w:ascii="仿宋" w:hAnsi="仿宋" w:eastAsia="仿宋" w:cs="仿宋"/>
                <w:color w:val="auto"/>
                <w:kern w:val="0"/>
                <w:sz w:val="24"/>
                <w:lang w:val="en-US" w:eastAsia="zh-CN"/>
              </w:rPr>
              <w:t>34</w:t>
            </w:r>
            <w:r>
              <w:rPr>
                <w:rFonts w:hint="eastAsia" w:ascii="仿宋" w:hAnsi="仿宋" w:eastAsia="仿宋" w:cs="仿宋"/>
                <w:color w:val="auto"/>
                <w:kern w:val="0"/>
                <w:sz w:val="24"/>
              </w:rPr>
              <w:t>%）</w:t>
            </w:r>
          </w:p>
        </w:tc>
        <w:tc>
          <w:tcPr>
            <w:tcW w:w="1260" w:type="dxa"/>
            <w:vMerge w:val="restart"/>
            <w:tcBorders>
              <w:top w:val="single" w:color="auto" w:sz="4" w:space="0"/>
            </w:tcBorders>
            <w:shd w:val="clear" w:color="000000" w:fill="FFFFFF"/>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经济效益</w:t>
            </w:r>
          </w:p>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实现企业研发费用税前加计扣除额（错年值）</w:t>
            </w:r>
          </w:p>
        </w:tc>
        <w:tc>
          <w:tcPr>
            <w:tcW w:w="5093" w:type="dxa"/>
            <w:tcBorders>
              <w:top w:val="single" w:color="auto" w:sz="4" w:space="0"/>
              <w:bottom w:val="single" w:color="auto" w:sz="4" w:space="0"/>
            </w:tcBorders>
            <w:vAlign w:val="center"/>
          </w:tcPr>
          <w:p>
            <w:pPr>
              <w:widowControl/>
              <w:spacing w:line="320" w:lineRule="exact"/>
              <w:jc w:val="both"/>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年度完成指标值为4.50亿元，</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1.00亿元扣1分（1.00亿元以内扣0.5分），</w:t>
            </w:r>
            <w:r>
              <w:rPr>
                <w:rFonts w:hint="eastAsia" w:ascii="仿宋" w:hAnsi="仿宋" w:eastAsia="仿宋" w:cs="仿宋"/>
                <w:color w:val="auto"/>
                <w:kern w:val="0"/>
                <w:sz w:val="21"/>
                <w:szCs w:val="21"/>
                <w:highlight w:val="none"/>
                <w:lang w:val="en-US" w:eastAsia="zh-CN" w:bidi="ar"/>
              </w:rPr>
              <w:t>超额得满分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w:t>
            </w:r>
            <w:r>
              <w:rPr>
                <w:rFonts w:hint="eastAsia" w:ascii="仿宋" w:hAnsi="仿宋" w:eastAsia="仿宋" w:cs="仿宋"/>
                <w:color w:val="auto"/>
                <w:kern w:val="0"/>
                <w:sz w:val="21"/>
                <w:szCs w:val="21"/>
              </w:rPr>
              <w:t>实现企业研发费用税前加计扣除额（错年值）</w:t>
            </w:r>
            <w:r>
              <w:rPr>
                <w:rFonts w:hint="eastAsia" w:ascii="仿宋" w:hAnsi="仿宋" w:eastAsia="仿宋" w:cs="仿宋"/>
                <w:color w:val="auto"/>
                <w:kern w:val="0"/>
                <w:sz w:val="21"/>
                <w:szCs w:val="21"/>
                <w:lang w:val="en-US" w:eastAsia="zh-CN"/>
              </w:rPr>
              <w:t>4.69亿元，减免高新技术企业所得税7,725.00万元，得满分。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500" w:hRule="atLeast"/>
          <w:jc w:val="center"/>
        </w:trPr>
        <w:tc>
          <w:tcPr>
            <w:tcW w:w="1275" w:type="dxa"/>
            <w:vMerge w:val="continue"/>
            <w:shd w:val="clear" w:color="auto" w:fill="auto"/>
            <w:vAlign w:val="center"/>
          </w:tcPr>
          <w:p>
            <w:pPr>
              <w:widowControl/>
              <w:spacing w:line="280" w:lineRule="exact"/>
              <w:jc w:val="center"/>
              <w:rPr>
                <w:rFonts w:hint="eastAsia" w:ascii="仿宋" w:hAnsi="仿宋" w:eastAsia="仿宋" w:cs="仿宋"/>
                <w:color w:val="auto"/>
                <w:kern w:val="0"/>
                <w:sz w:val="24"/>
              </w:rPr>
            </w:pPr>
          </w:p>
        </w:tc>
        <w:tc>
          <w:tcPr>
            <w:tcW w:w="1260" w:type="dxa"/>
            <w:vMerge w:val="continue"/>
            <w:shd w:val="clear" w:color="000000" w:fill="FFFFFF"/>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高新技术企业销售收入增长率</w:t>
            </w:r>
          </w:p>
        </w:tc>
        <w:tc>
          <w:tcPr>
            <w:tcW w:w="5093" w:type="dxa"/>
            <w:tcBorders>
              <w:top w:val="single" w:color="auto" w:sz="4" w:space="0"/>
              <w:bottom w:val="single" w:color="auto" w:sz="4" w:space="0"/>
            </w:tcBorders>
            <w:vAlign w:val="center"/>
          </w:tcPr>
          <w:p>
            <w:pPr>
              <w:widowControl/>
              <w:spacing w:line="320" w:lineRule="exact"/>
              <w:jc w:val="left"/>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年度完成指标值为20.00%，</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5.00%扣1分（5.00%以内扣0.5分），超过</w:t>
            </w:r>
            <w:r>
              <w:rPr>
                <w:rFonts w:hint="eastAsia" w:ascii="仿宋" w:hAnsi="仿宋" w:eastAsia="仿宋" w:cs="仿宋"/>
                <w:color w:val="auto"/>
                <w:kern w:val="0"/>
                <w:sz w:val="21"/>
                <w:szCs w:val="21"/>
                <w:highlight w:val="none"/>
                <w:lang w:val="en-US" w:eastAsia="zh-CN" w:bidi="ar"/>
              </w:rPr>
              <w:t>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0</w:t>
            </w:r>
          </w:p>
        </w:tc>
        <w:tc>
          <w:tcPr>
            <w:tcW w:w="2796" w:type="dxa"/>
            <w:tcBorders>
              <w:top w:val="single" w:color="auto" w:sz="4" w:space="0"/>
              <w:bottom w:val="single" w:color="auto"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2019年高新技术企业销售收入增长率为：（12765908.75-14748182.74）/14748182.74=-13.44%，不得分。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15" w:hRule="atLeast"/>
          <w:jc w:val="center"/>
        </w:trPr>
        <w:tc>
          <w:tcPr>
            <w:tcW w:w="1275" w:type="dxa"/>
            <w:vMerge w:val="continue"/>
            <w:shd w:val="clear" w:color="auto" w:fill="auto"/>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shd w:val="clear" w:color="000000" w:fill="FFFFFF"/>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新增孵化器、众创空间年收入额</w:t>
            </w:r>
          </w:p>
        </w:tc>
        <w:tc>
          <w:tcPr>
            <w:tcW w:w="5093" w:type="dxa"/>
            <w:tcBorders>
              <w:top w:val="single" w:color="auto" w:sz="4" w:space="0"/>
              <w:bottom w:val="single" w:color="auto" w:sz="4" w:space="0"/>
            </w:tcBorders>
            <w:vAlign w:val="center"/>
          </w:tcPr>
          <w:p>
            <w:pPr>
              <w:widowControl/>
              <w:spacing w:line="320" w:lineRule="exact"/>
              <w:jc w:val="left"/>
              <w:rPr>
                <w:rFonts w:hint="eastAsia" w:ascii="仿宋" w:hAnsi="仿宋" w:eastAsia="仿宋" w:cs="仿宋"/>
                <w:color w:val="auto"/>
                <w:kern w:val="0"/>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年度完成指标值为50.00万元，</w:t>
            </w:r>
            <w:r>
              <w:rPr>
                <w:rFonts w:hint="eastAsia" w:ascii="仿宋" w:hAnsi="仿宋" w:eastAsia="仿宋" w:cs="仿宋"/>
                <w:i w:val="0"/>
                <w:iCs w:val="0"/>
                <w:color w:val="auto"/>
                <w:kern w:val="0"/>
                <w:sz w:val="21"/>
                <w:szCs w:val="21"/>
                <w:u w:val="none"/>
                <w:lang w:val="en-US" w:eastAsia="zh-CN" w:bidi="ar"/>
              </w:rPr>
              <w:t>每减少20万扣1分（20万以内扣0.5分）</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highlight w:val="none"/>
                <w:lang w:val="en-US" w:eastAsia="zh-CN" w:bidi="ar"/>
              </w:rPr>
              <w:t>超额得满分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3</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1.5</w:t>
            </w:r>
          </w:p>
        </w:tc>
        <w:tc>
          <w:tcPr>
            <w:tcW w:w="279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2019年新增孵化器、众创空间年收入28.3万元，扣1.5分。</w:t>
            </w:r>
          </w:p>
          <w:p>
            <w:pPr>
              <w:widowControl/>
              <w:spacing w:line="320" w:lineRule="exact"/>
              <w:jc w:val="center"/>
              <w:rPr>
                <w:rFonts w:hint="eastAsia" w:ascii="仿宋" w:hAnsi="仿宋" w:eastAsia="仿宋" w:cs="仿宋"/>
                <w:color w:val="auto"/>
                <w:kern w:val="0"/>
                <w:sz w:val="21"/>
                <w:szCs w:val="21"/>
                <w:highlight w:val="none"/>
                <w:lang w:val="en-US" w:eastAsia="zh-CN"/>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55" w:hRule="atLeast"/>
          <w:jc w:val="center"/>
        </w:trPr>
        <w:tc>
          <w:tcPr>
            <w:tcW w:w="1275" w:type="dxa"/>
            <w:vMerge w:val="continue"/>
            <w:shd w:val="clear" w:color="auto" w:fill="auto"/>
            <w:vAlign w:val="center"/>
          </w:tcPr>
          <w:p>
            <w:pPr>
              <w:widowControl/>
              <w:spacing w:line="320" w:lineRule="exact"/>
              <w:jc w:val="center"/>
              <w:rPr>
                <w:rFonts w:hint="eastAsia" w:ascii="仿宋" w:hAnsi="仿宋" w:eastAsia="仿宋" w:cs="仿宋"/>
                <w:color w:val="auto"/>
                <w:kern w:val="0"/>
                <w:sz w:val="24"/>
              </w:rPr>
            </w:pPr>
          </w:p>
        </w:tc>
        <w:tc>
          <w:tcPr>
            <w:tcW w:w="1260" w:type="dxa"/>
            <w:vMerge w:val="continue"/>
            <w:shd w:val="clear" w:color="000000" w:fill="FFFFFF"/>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孵化器入驻企业年营业收入增长率</w:t>
            </w:r>
          </w:p>
        </w:tc>
        <w:tc>
          <w:tcPr>
            <w:tcW w:w="5093" w:type="dxa"/>
            <w:tcBorders>
              <w:top w:val="single" w:color="auto" w:sz="4" w:space="0"/>
              <w:bottom w:val="single" w:color="auto" w:sz="4" w:space="0"/>
            </w:tcBorders>
            <w:vAlign w:val="center"/>
          </w:tcPr>
          <w:p>
            <w:pPr>
              <w:widowControl/>
              <w:spacing w:line="320" w:lineRule="exact"/>
              <w:jc w:val="both"/>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年度完成指标值20%，每减少7%扣1分（7%以内扣0.5分）</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1035"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auto" w:sz="4" w:space="0"/>
              <w:bottom w:val="single" w:color="auto" w:sz="4" w:space="0"/>
            </w:tcBorders>
            <w:vAlign w:val="center"/>
          </w:tcPr>
          <w:p>
            <w:pPr>
              <w:widowControl/>
              <w:spacing w:line="320" w:lineRule="exact"/>
              <w:jc w:val="left"/>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2019年孵化器入驻企业营业收入增长率为：（1353581.96-723145.24）/743245.24=87.15%,得满分。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733" w:hRule="atLeast"/>
          <w:jc w:val="center"/>
        </w:trPr>
        <w:tc>
          <w:tcPr>
            <w:tcW w:w="1275" w:type="dxa"/>
            <w:vMerge w:val="restart"/>
            <w:shd w:val="clear" w:color="auto" w:fill="auto"/>
            <w:vAlign w:val="center"/>
          </w:tcPr>
          <w:p>
            <w:pPr>
              <w:widowControl/>
              <w:spacing w:line="280" w:lineRule="exact"/>
              <w:ind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效益</w:t>
            </w:r>
          </w:p>
          <w:p>
            <w:pPr>
              <w:pStyle w:val="2"/>
              <w:ind w:left="0" w:leftChars="0" w:firstLine="0" w:firstLineChars="0"/>
              <w:jc w:val="center"/>
              <w:rPr>
                <w:rFonts w:hint="eastAsia" w:ascii="仿宋" w:hAnsi="仿宋" w:eastAsia="仿宋" w:cs="仿宋"/>
                <w:color w:val="auto"/>
                <w:lang w:eastAsia="zh-CN"/>
              </w:rPr>
            </w:pP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34%）</w:t>
            </w:r>
          </w:p>
        </w:tc>
        <w:tc>
          <w:tcPr>
            <w:tcW w:w="1260" w:type="dxa"/>
            <w:vMerge w:val="restart"/>
            <w:tcBorders>
              <w:top w:val="single" w:color="auto" w:sz="4" w:space="0"/>
            </w:tcBorders>
            <w:shd w:val="clear" w:color="000000" w:fill="FFFFFF"/>
            <w:vAlign w:val="center"/>
          </w:tcPr>
          <w:p>
            <w:pPr>
              <w:widowControl/>
              <w:spacing w:line="320" w:lineRule="exact"/>
              <w:jc w:val="both"/>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社会效益</w:t>
            </w: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高新技术企业申报通过率</w:t>
            </w:r>
          </w:p>
        </w:tc>
        <w:tc>
          <w:tcPr>
            <w:tcW w:w="5093" w:type="dxa"/>
            <w:tcBorders>
              <w:top w:val="single" w:color="auto" w:sz="4" w:space="0"/>
              <w:bottom w:val="single" w:color="auto" w:sz="4" w:space="0"/>
            </w:tcBorders>
            <w:vAlign w:val="center"/>
          </w:tcPr>
          <w:p>
            <w:pPr>
              <w:widowControl/>
              <w:spacing w:line="280" w:lineRule="exact"/>
              <w:jc w:val="both"/>
              <w:rPr>
                <w:rFonts w:hint="eastAsia" w:ascii="仿宋" w:hAnsi="仿宋" w:eastAsia="仿宋" w:cs="仿宋"/>
                <w:color w:val="auto"/>
                <w:kern w:val="0"/>
                <w:sz w:val="21"/>
                <w:szCs w:val="21"/>
                <w:highlight w:val="none"/>
                <w:lang w:eastAsia="zh-CN"/>
              </w:rPr>
            </w:pPr>
            <w:r>
              <w:rPr>
                <w:rFonts w:hint="eastAsia" w:ascii="仿宋" w:hAnsi="仿宋" w:eastAsia="仿宋" w:cs="仿宋"/>
                <w:i w:val="0"/>
                <w:iCs w:val="0"/>
                <w:color w:val="auto"/>
                <w:kern w:val="0"/>
                <w:sz w:val="21"/>
                <w:szCs w:val="21"/>
                <w:highlight w:val="none"/>
                <w:u w:val="none"/>
                <w:lang w:val="en-US" w:eastAsia="zh-CN" w:bidi="ar"/>
              </w:rPr>
              <w:t>年度完成指标值：</w:t>
            </w:r>
            <w:r>
              <w:rPr>
                <w:rFonts w:hint="eastAsia" w:ascii="仿宋_GB2312" w:hAnsi="仿宋_GB2312" w:eastAsia="仿宋_GB2312" w:cs="仿宋_GB2312"/>
                <w:color w:val="auto"/>
                <w:sz w:val="21"/>
                <w:szCs w:val="21"/>
                <w:highlight w:val="none"/>
                <w:lang w:val="en-US" w:eastAsia="zh-CN"/>
              </w:rPr>
              <w:t>通过率=通过认定的企业数/申报数</w:t>
            </w:r>
            <w:r>
              <w:rPr>
                <w:rFonts w:hint="eastAsia" w:ascii="仿宋_GB2312" w:hAnsi="仿宋_GB2312" w:eastAsia="仿宋_GB2312" w:cs="仿宋_GB2312"/>
                <w:color w:val="auto"/>
                <w:sz w:val="32"/>
                <w:szCs w:val="32"/>
                <w:highlight w:val="none"/>
                <w:lang w:val="en-US" w:eastAsia="zh-CN"/>
              </w:rPr>
              <w:t xml:space="preserve"> </w:t>
            </w:r>
            <w:r>
              <w:rPr>
                <w:rFonts w:hint="eastAsia" w:ascii="仿宋" w:hAnsi="仿宋" w:eastAsia="仿宋" w:cs="仿宋"/>
                <w:i w:val="0"/>
                <w:iCs w:val="0"/>
                <w:color w:val="auto"/>
                <w:kern w:val="0"/>
                <w:sz w:val="21"/>
                <w:szCs w:val="21"/>
                <w:highlight w:val="none"/>
                <w:u w:val="none"/>
                <w:lang w:val="en-US" w:eastAsia="zh-CN" w:bidi="ar"/>
              </w:rPr>
              <w:t>省级高新技术企业认定率70%，国家级高新技术企业认定率70%，各2分；</w:t>
            </w:r>
            <w:r>
              <w:rPr>
                <w:rFonts w:hint="eastAsia" w:ascii="仿宋" w:hAnsi="仿宋" w:eastAsia="仿宋" w:cs="仿宋"/>
                <w:color w:val="auto"/>
                <w:kern w:val="0"/>
                <w:sz w:val="21"/>
                <w:szCs w:val="21"/>
                <w:lang w:eastAsia="zh-CN" w:bidi="ar"/>
              </w:rPr>
              <w:t>每减少</w:t>
            </w:r>
            <w:r>
              <w:rPr>
                <w:rFonts w:hint="eastAsia" w:ascii="仿宋" w:hAnsi="仿宋" w:eastAsia="仿宋" w:cs="仿宋"/>
                <w:color w:val="auto"/>
                <w:kern w:val="0"/>
                <w:sz w:val="21"/>
                <w:szCs w:val="21"/>
                <w:lang w:val="en-US" w:eastAsia="zh-CN" w:bidi="ar"/>
              </w:rPr>
              <w:t>20.00%扣1分（20.00%以内扣0.5分），</w:t>
            </w:r>
            <w:r>
              <w:rPr>
                <w:rFonts w:hint="eastAsia" w:ascii="仿宋" w:hAnsi="仿宋" w:eastAsia="仿宋" w:cs="仿宋"/>
                <w:color w:val="auto"/>
                <w:kern w:val="0"/>
                <w:sz w:val="21"/>
                <w:szCs w:val="21"/>
                <w:highlight w:val="none"/>
                <w:lang w:eastAsia="zh-CN" w:bidi="ar"/>
              </w:rPr>
              <w:t>超过</w:t>
            </w:r>
            <w:r>
              <w:rPr>
                <w:rFonts w:hint="eastAsia" w:ascii="仿宋" w:hAnsi="仿宋" w:eastAsia="仿宋" w:cs="仿宋"/>
                <w:color w:val="auto"/>
                <w:kern w:val="0"/>
                <w:sz w:val="21"/>
                <w:szCs w:val="21"/>
                <w:highlight w:val="none"/>
                <w:lang w:val="en-US" w:eastAsia="zh-CN" w:bidi="ar"/>
              </w:rPr>
              <w:t>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rPr>
              <w:t>4</w:t>
            </w:r>
            <w:r>
              <w:rPr>
                <w:rFonts w:hint="eastAsia" w:ascii="仿宋" w:hAnsi="仿宋" w:eastAsia="仿宋" w:cs="仿宋"/>
                <w:color w:val="auto"/>
                <w:kern w:val="0"/>
                <w:sz w:val="21"/>
                <w:szCs w:val="21"/>
                <w:highlight w:val="none"/>
              </w:rPr>
              <w:t xml:space="preserve"> </w:t>
            </w:r>
          </w:p>
        </w:tc>
        <w:tc>
          <w:tcPr>
            <w:tcW w:w="1035" w:type="dxa"/>
            <w:tcBorders>
              <w:top w:val="single" w:color="auto" w:sz="4" w:space="0"/>
              <w:bottom w:val="single" w:color="auto" w:sz="4" w:space="0"/>
            </w:tcBorders>
            <w:vAlign w:val="center"/>
          </w:tcPr>
          <w:p>
            <w:pPr>
              <w:widowControl/>
              <w:spacing w:line="320" w:lineRule="exact"/>
              <w:jc w:val="center"/>
              <w:rPr>
                <w:rFonts w:hint="default"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3.5</w:t>
            </w:r>
          </w:p>
        </w:tc>
        <w:tc>
          <w:tcPr>
            <w:tcW w:w="2796" w:type="dxa"/>
            <w:tcBorders>
              <w:top w:val="single" w:color="auto" w:sz="4" w:space="0"/>
              <w:bottom w:val="single" w:color="auto" w:sz="4" w:space="0"/>
            </w:tcBorders>
            <w:vAlign w:val="center"/>
          </w:tcPr>
          <w:p>
            <w:pPr>
              <w:widowControl/>
              <w:spacing w:line="320" w:lineRule="exact"/>
              <w:jc w:val="left"/>
              <w:rPr>
                <w:rFonts w:hint="default"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2019年三明市省高申报57家、通过38家，省高通过率：38/57=66.67%，扣0.5分；国高两批共申报61家、通过认定44家，国高通过率：44/61=72.13%，得2分。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90" w:hRule="atLeast"/>
          <w:jc w:val="center"/>
        </w:trPr>
        <w:tc>
          <w:tcPr>
            <w:tcW w:w="1275" w:type="dxa"/>
            <w:vMerge w:val="continue"/>
            <w:shd w:val="clear" w:color="auto" w:fill="auto"/>
            <w:vAlign w:val="center"/>
          </w:tcPr>
          <w:p>
            <w:pPr>
              <w:widowControl/>
              <w:spacing w:line="280" w:lineRule="exact"/>
              <w:jc w:val="center"/>
              <w:rPr>
                <w:rFonts w:hint="eastAsia" w:ascii="仿宋" w:hAnsi="仿宋" w:eastAsia="仿宋" w:cs="仿宋"/>
                <w:color w:val="auto"/>
                <w:kern w:val="0"/>
                <w:sz w:val="24"/>
              </w:rPr>
            </w:pPr>
          </w:p>
        </w:tc>
        <w:tc>
          <w:tcPr>
            <w:tcW w:w="1260" w:type="dxa"/>
            <w:vMerge w:val="continue"/>
            <w:shd w:val="clear" w:color="000000" w:fill="FFFFFF"/>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三明市高新技术企业就业人数增长率</w:t>
            </w:r>
          </w:p>
        </w:tc>
        <w:tc>
          <w:tcPr>
            <w:tcW w:w="5093" w:type="dxa"/>
            <w:tcBorders>
              <w:top w:val="single" w:color="auto" w:sz="4" w:space="0"/>
              <w:bottom w:val="single" w:color="auto" w:sz="4" w:space="0"/>
            </w:tcBorders>
            <w:vAlign w:val="center"/>
          </w:tcPr>
          <w:p>
            <w:pPr>
              <w:widowControl/>
              <w:spacing w:line="280" w:lineRule="exact"/>
              <w:jc w:val="both"/>
              <w:rPr>
                <w:rFonts w:hint="eastAsia" w:ascii="仿宋" w:hAnsi="仿宋" w:eastAsia="仿宋" w:cs="仿宋"/>
                <w:color w:val="auto"/>
                <w:kern w:val="0"/>
                <w:sz w:val="21"/>
                <w:szCs w:val="21"/>
              </w:rPr>
            </w:pPr>
            <w:r>
              <w:rPr>
                <w:rFonts w:hint="eastAsia" w:ascii="仿宋" w:hAnsi="仿宋" w:eastAsia="仿宋" w:cs="仿宋"/>
                <w:i w:val="0"/>
                <w:iCs w:val="0"/>
                <w:color w:val="auto"/>
                <w:kern w:val="0"/>
                <w:sz w:val="21"/>
                <w:szCs w:val="21"/>
                <w:u w:val="none"/>
                <w:lang w:val="en-US" w:eastAsia="zh-CN" w:bidi="ar"/>
              </w:rPr>
              <w:t>年度完成指标值为10.00%，每减少2.5%扣1分（2.5%以内扣0.5分）</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4</w:t>
            </w:r>
          </w:p>
        </w:tc>
        <w:tc>
          <w:tcPr>
            <w:tcW w:w="1035"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0</w:t>
            </w:r>
          </w:p>
        </w:tc>
        <w:tc>
          <w:tcPr>
            <w:tcW w:w="2796" w:type="dxa"/>
            <w:tcBorders>
              <w:top w:val="single" w:color="auto" w:sz="4" w:space="0"/>
              <w:bottom w:val="single" w:color="auto" w:sz="4" w:space="0"/>
            </w:tcBorders>
            <w:vAlign w:val="center"/>
          </w:tcPr>
          <w:p>
            <w:pPr>
              <w:widowControl/>
              <w:spacing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（15316-15480）/15480=-1.06%，不得分</w:t>
            </w:r>
            <w:r>
              <w:rPr>
                <w:rFonts w:hint="eastAsia" w:ascii="仿宋" w:hAnsi="仿宋" w:eastAsia="仿宋" w:cs="仿宋"/>
                <w:color w:val="auto"/>
                <w:kern w:val="0"/>
                <w:sz w:val="21"/>
                <w:szCs w:val="21"/>
                <w:highlight w:val="none"/>
                <w:lang w:val="en-US" w:eastAsia="zh-CN"/>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385" w:hRule="atLeast"/>
          <w:jc w:val="center"/>
        </w:trPr>
        <w:tc>
          <w:tcPr>
            <w:tcW w:w="1275" w:type="dxa"/>
            <w:vMerge w:val="continue"/>
            <w:shd w:val="clear" w:color="auto" w:fill="auto"/>
            <w:vAlign w:val="center"/>
          </w:tcPr>
          <w:p>
            <w:pPr>
              <w:pStyle w:val="2"/>
              <w:ind w:left="0" w:leftChars="0" w:firstLine="0" w:firstLineChars="0"/>
              <w:jc w:val="center"/>
              <w:rPr>
                <w:rFonts w:hint="eastAsia" w:ascii="仿宋" w:hAnsi="仿宋" w:eastAsia="仿宋" w:cs="仿宋"/>
                <w:color w:val="auto"/>
                <w:lang w:eastAsia="zh-CN"/>
              </w:rPr>
            </w:pPr>
          </w:p>
        </w:tc>
        <w:tc>
          <w:tcPr>
            <w:tcW w:w="1260" w:type="dxa"/>
            <w:vMerge w:val="continue"/>
            <w:tcBorders>
              <w:bottom w:val="single" w:color="auto" w:sz="4" w:space="0"/>
            </w:tcBorders>
            <w:shd w:val="clear" w:color="000000" w:fill="FFFFFF"/>
            <w:vAlign w:val="center"/>
          </w:tcPr>
          <w:p>
            <w:pPr>
              <w:widowControl/>
              <w:spacing w:line="320" w:lineRule="exact"/>
              <w:jc w:val="center"/>
              <w:rPr>
                <w:rFonts w:hint="eastAsia" w:ascii="仿宋" w:hAnsi="仿宋" w:eastAsia="仿宋" w:cs="仿宋"/>
                <w:color w:val="auto"/>
                <w:kern w:val="0"/>
                <w:sz w:val="24"/>
              </w:rPr>
            </w:pPr>
          </w:p>
        </w:tc>
        <w:tc>
          <w:tcPr>
            <w:tcW w:w="1686" w:type="dxa"/>
            <w:tcBorders>
              <w:top w:val="single" w:color="auto" w:sz="4" w:space="0"/>
              <w:bottom w:val="single" w:color="auto" w:sz="4" w:space="0"/>
            </w:tcBorders>
            <w:vAlign w:val="center"/>
          </w:tcPr>
          <w:p>
            <w:pPr>
              <w:widowControl/>
              <w:spacing w:beforeLines="0" w:afterLines="0" w:line="320" w:lineRule="exact"/>
              <w:jc w:val="center"/>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szCs w:val="21"/>
              </w:rPr>
              <w:t>研发经费投入强度（错年值）</w:t>
            </w:r>
          </w:p>
        </w:tc>
        <w:tc>
          <w:tcPr>
            <w:tcW w:w="5093" w:type="dxa"/>
            <w:tcBorders>
              <w:top w:val="single" w:color="auto" w:sz="4" w:space="0"/>
              <w:bottom w:val="single" w:color="auto" w:sz="4" w:space="0"/>
            </w:tcBorders>
            <w:vAlign w:val="center"/>
          </w:tcPr>
          <w:p>
            <w:pPr>
              <w:widowControl/>
              <w:spacing w:beforeLines="0" w:afterLines="0" w:line="280" w:lineRule="exact"/>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color w:val="auto"/>
                <w:kern w:val="0"/>
                <w:sz w:val="21"/>
                <w:szCs w:val="21"/>
                <w:lang w:bidi="ar"/>
              </w:rPr>
              <w:t>年度完成指标值为1.8%，</w:t>
            </w:r>
            <w:r>
              <w:rPr>
                <w:rFonts w:hint="eastAsia" w:ascii="仿宋" w:hAnsi="仿宋" w:eastAsia="仿宋" w:cs="仿宋"/>
                <w:i w:val="0"/>
                <w:iCs w:val="0"/>
                <w:color w:val="auto"/>
                <w:kern w:val="0"/>
                <w:sz w:val="21"/>
                <w:szCs w:val="21"/>
                <w:u w:val="none"/>
                <w:lang w:val="en-US" w:eastAsia="zh-CN" w:bidi="ar"/>
              </w:rPr>
              <w:t>每减少0.75%扣1分（0.75%以内扣0.5分）</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beforeLines="0" w:afterLines="0" w:line="28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rPr>
              <w:t>4</w:t>
            </w:r>
          </w:p>
        </w:tc>
        <w:tc>
          <w:tcPr>
            <w:tcW w:w="1035" w:type="dxa"/>
            <w:tcBorders>
              <w:top w:val="single" w:color="auto" w:sz="4" w:space="0"/>
              <w:bottom w:val="single" w:color="auto" w:sz="4" w:space="0"/>
            </w:tcBorders>
            <w:vAlign w:val="center"/>
          </w:tcPr>
          <w:p>
            <w:pPr>
              <w:widowControl/>
              <w:spacing w:beforeLines="0" w:afterLines="0" w:line="280" w:lineRule="exact"/>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w:t>
            </w:r>
          </w:p>
        </w:tc>
        <w:tc>
          <w:tcPr>
            <w:tcW w:w="2796" w:type="dxa"/>
            <w:tcBorders>
              <w:top w:val="single" w:color="auto" w:sz="4" w:space="0"/>
              <w:bottom w:val="single" w:color="auto" w:sz="4" w:space="0"/>
            </w:tcBorders>
            <w:vAlign w:val="center"/>
          </w:tcPr>
          <w:p>
            <w:pPr>
              <w:widowControl/>
              <w:spacing w:beforeLines="0" w:afterLines="0" w:line="320" w:lineRule="exact"/>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2018年研发经费投入强度（错年值）</w:t>
            </w:r>
            <w:r>
              <w:rPr>
                <w:rFonts w:hint="eastAsia" w:ascii="仿宋" w:hAnsi="仿宋" w:eastAsia="仿宋" w:cs="仿宋"/>
                <w:color w:val="auto"/>
                <w:kern w:val="0"/>
                <w:sz w:val="21"/>
                <w:szCs w:val="21"/>
              </w:rPr>
              <w:t>1.05%</w:t>
            </w:r>
            <w:r>
              <w:rPr>
                <w:rFonts w:hint="eastAsia" w:ascii="仿宋" w:hAnsi="仿宋" w:eastAsia="仿宋" w:cs="仿宋"/>
                <w:color w:val="auto"/>
                <w:kern w:val="0"/>
                <w:sz w:val="21"/>
                <w:szCs w:val="21"/>
                <w:lang w:eastAsia="zh-CN"/>
              </w:rPr>
              <w:t>，扣</w:t>
            </w:r>
            <w:r>
              <w:rPr>
                <w:rFonts w:hint="eastAsia" w:ascii="仿宋" w:hAnsi="仿宋" w:eastAsia="仿宋" w:cs="仿宋"/>
                <w:color w:val="auto"/>
                <w:kern w:val="0"/>
                <w:sz w:val="21"/>
                <w:szCs w:val="21"/>
                <w:lang w:val="en-US" w:eastAsia="zh-CN"/>
              </w:rPr>
              <w:t>1分，研发投入的强度不足。</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77" w:hRule="atLeast"/>
          <w:jc w:val="center"/>
        </w:trPr>
        <w:tc>
          <w:tcPr>
            <w:tcW w:w="1275" w:type="dxa"/>
            <w:vMerge w:val="continue"/>
            <w:vAlign w:val="center"/>
          </w:tcPr>
          <w:p>
            <w:pPr>
              <w:widowControl/>
              <w:spacing w:line="280" w:lineRule="exact"/>
              <w:jc w:val="center"/>
              <w:rPr>
                <w:rFonts w:hint="eastAsia" w:ascii="仿宋" w:hAnsi="仿宋" w:eastAsia="仿宋" w:cs="仿宋"/>
                <w:color w:val="auto"/>
                <w:kern w:val="0"/>
                <w:sz w:val="24"/>
              </w:rPr>
            </w:pPr>
          </w:p>
        </w:tc>
        <w:tc>
          <w:tcPr>
            <w:tcW w:w="1260" w:type="dxa"/>
            <w:tcBorders>
              <w:top w:val="single" w:color="auto" w:sz="4" w:space="0"/>
              <w:bottom w:val="single" w:color="auto" w:sz="4" w:space="0"/>
            </w:tcBorders>
            <w:vAlign w:val="center"/>
          </w:tcPr>
          <w:p>
            <w:pPr>
              <w:widowControl/>
              <w:spacing w:line="280" w:lineRule="exact"/>
              <w:jc w:val="left"/>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可持续发展效益</w:t>
            </w:r>
          </w:p>
        </w:tc>
        <w:tc>
          <w:tcPr>
            <w:tcW w:w="1686" w:type="dxa"/>
            <w:tcBorders>
              <w:top w:val="single" w:color="auto" w:sz="4" w:space="0"/>
              <w:bottom w:val="single" w:color="auto" w:sz="4" w:space="0"/>
            </w:tcBorders>
            <w:vAlign w:val="center"/>
          </w:tcPr>
          <w:p>
            <w:pPr>
              <w:widowControl/>
              <w:spacing w:line="32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szCs w:val="21"/>
              </w:rPr>
              <w:t>带动三明市研发经费投入增长</w:t>
            </w:r>
            <w:r>
              <w:rPr>
                <w:rFonts w:hint="eastAsia" w:ascii="仿宋" w:hAnsi="仿宋" w:eastAsia="仿宋" w:cs="仿宋"/>
                <w:color w:val="auto"/>
                <w:kern w:val="0"/>
                <w:sz w:val="24"/>
                <w:szCs w:val="21"/>
                <w:lang w:eastAsia="zh-CN"/>
              </w:rPr>
              <w:t>率</w:t>
            </w:r>
            <w:r>
              <w:rPr>
                <w:rFonts w:hint="eastAsia" w:ascii="仿宋" w:hAnsi="仿宋" w:eastAsia="仿宋" w:cs="仿宋"/>
                <w:color w:val="auto"/>
                <w:kern w:val="0"/>
                <w:sz w:val="24"/>
                <w:szCs w:val="21"/>
              </w:rPr>
              <w:t>（错年值）</w:t>
            </w:r>
          </w:p>
        </w:tc>
        <w:tc>
          <w:tcPr>
            <w:tcW w:w="5093" w:type="dxa"/>
            <w:tcBorders>
              <w:top w:val="single" w:color="auto" w:sz="4" w:space="0"/>
              <w:bottom w:val="single" w:color="auto" w:sz="4" w:space="0"/>
            </w:tcBorders>
            <w:vAlign w:val="center"/>
          </w:tcPr>
          <w:p>
            <w:pPr>
              <w:widowControl/>
              <w:spacing w:line="280" w:lineRule="exact"/>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color w:val="auto"/>
                <w:kern w:val="0"/>
                <w:sz w:val="21"/>
                <w:szCs w:val="21"/>
                <w:lang w:bidi="ar"/>
              </w:rPr>
              <w:t>年度完成指标值为18.4%，</w:t>
            </w:r>
            <w:r>
              <w:rPr>
                <w:rFonts w:hint="eastAsia" w:ascii="仿宋" w:hAnsi="仿宋" w:eastAsia="仿宋" w:cs="仿宋"/>
                <w:i w:val="0"/>
                <w:iCs w:val="0"/>
                <w:color w:val="auto"/>
                <w:kern w:val="0"/>
                <w:sz w:val="21"/>
                <w:szCs w:val="21"/>
                <w:u w:val="none"/>
                <w:lang w:val="en-US" w:eastAsia="zh-CN" w:bidi="ar"/>
              </w:rPr>
              <w:t>每减少4.00%扣1分（4.00%以内扣0.5分）</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highlight w:val="none"/>
                <w:lang w:val="en-US" w:eastAsia="zh-CN" w:bidi="ar"/>
              </w:rPr>
              <w:t>超过得满分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rPr>
              <w:t>4</w:t>
            </w:r>
          </w:p>
        </w:tc>
        <w:tc>
          <w:tcPr>
            <w:tcW w:w="1035"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rPr>
              <w:t>4</w:t>
            </w:r>
          </w:p>
        </w:tc>
        <w:tc>
          <w:tcPr>
            <w:tcW w:w="2796" w:type="dxa"/>
            <w:tcBorders>
              <w:top w:val="single" w:color="auto" w:sz="4" w:space="0"/>
              <w:bottom w:val="single" w:color="auto" w:sz="4" w:space="0"/>
            </w:tcBorders>
            <w:vAlign w:val="center"/>
          </w:tcPr>
          <w:p>
            <w:pPr>
              <w:widowControl/>
              <w:spacing w:line="320" w:lineRule="exact"/>
              <w:jc w:val="left"/>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2018年</w:t>
            </w:r>
            <w:r>
              <w:rPr>
                <w:rFonts w:hint="eastAsia" w:ascii="仿宋" w:hAnsi="仿宋" w:eastAsia="仿宋" w:cs="仿宋"/>
                <w:color w:val="auto"/>
                <w:kern w:val="0"/>
                <w:sz w:val="21"/>
                <w:szCs w:val="21"/>
                <w:lang w:eastAsia="zh-CN"/>
              </w:rPr>
              <w:t>研发经费投入增长率</w:t>
            </w:r>
            <w:r>
              <w:rPr>
                <w:rFonts w:hint="eastAsia" w:ascii="仿宋" w:hAnsi="仿宋" w:eastAsia="仿宋" w:cs="仿宋"/>
                <w:color w:val="auto"/>
                <w:kern w:val="0"/>
                <w:sz w:val="21"/>
                <w:szCs w:val="21"/>
              </w:rPr>
              <w:t>19.6%</w:t>
            </w:r>
            <w:r>
              <w:rPr>
                <w:rFonts w:hint="eastAsia" w:ascii="仿宋" w:hAnsi="仿宋" w:eastAsia="仿宋" w:cs="仿宋"/>
                <w:color w:val="auto"/>
                <w:kern w:val="0"/>
                <w:sz w:val="21"/>
                <w:szCs w:val="21"/>
                <w:lang w:eastAsia="zh-CN"/>
              </w:rPr>
              <w:t>，高于设定指标比例增长率</w:t>
            </w:r>
            <w:r>
              <w:rPr>
                <w:rFonts w:hint="eastAsia" w:ascii="仿宋" w:hAnsi="仿宋" w:eastAsia="仿宋" w:cs="仿宋"/>
                <w:color w:val="auto"/>
                <w:kern w:val="0"/>
                <w:sz w:val="21"/>
                <w:szCs w:val="21"/>
                <w:lang w:val="en-US" w:eastAsia="zh-CN"/>
              </w:rPr>
              <w:t>18.4%，得满分。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77" w:hRule="atLeast"/>
          <w:jc w:val="center"/>
        </w:trPr>
        <w:tc>
          <w:tcPr>
            <w:tcW w:w="1275" w:type="dxa"/>
            <w:vMerge w:val="continue"/>
            <w:tcBorders>
              <w:bottom w:val="single" w:color="auto" w:sz="4" w:space="0"/>
            </w:tcBorders>
            <w:vAlign w:val="center"/>
          </w:tcPr>
          <w:p>
            <w:pPr>
              <w:widowControl/>
              <w:spacing w:line="280" w:lineRule="exact"/>
              <w:jc w:val="center"/>
              <w:rPr>
                <w:rFonts w:hint="eastAsia" w:ascii="仿宋" w:hAnsi="仿宋" w:eastAsia="仿宋" w:cs="仿宋"/>
                <w:color w:val="auto"/>
                <w:kern w:val="0"/>
                <w:sz w:val="24"/>
              </w:rPr>
            </w:pPr>
          </w:p>
        </w:tc>
        <w:tc>
          <w:tcPr>
            <w:tcW w:w="1260" w:type="dxa"/>
            <w:tcBorders>
              <w:top w:val="single" w:color="auto" w:sz="4" w:space="0"/>
              <w:bottom w:val="single" w:color="auto" w:sz="4" w:space="0"/>
            </w:tcBorders>
            <w:vAlign w:val="center"/>
          </w:tcPr>
          <w:p>
            <w:pPr>
              <w:widowControl/>
              <w:spacing w:line="280" w:lineRule="exact"/>
              <w:jc w:val="left"/>
              <w:rPr>
                <w:rFonts w:hint="eastAsia" w:ascii="仿宋" w:hAnsi="仿宋" w:eastAsia="仿宋" w:cs="仿宋"/>
                <w:color w:val="auto"/>
                <w:kern w:val="0"/>
                <w:sz w:val="24"/>
              </w:rPr>
            </w:pPr>
            <w:r>
              <w:rPr>
                <w:rFonts w:hint="eastAsia" w:ascii="仿宋" w:hAnsi="仿宋" w:eastAsia="仿宋" w:cs="仿宋"/>
                <w:color w:val="auto"/>
                <w:kern w:val="0"/>
                <w:sz w:val="24"/>
              </w:rPr>
              <w:t>服务对象满意度</w:t>
            </w:r>
          </w:p>
        </w:tc>
        <w:tc>
          <w:tcPr>
            <w:tcW w:w="1686"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对平台服务的</w:t>
            </w:r>
          </w:p>
          <w:p>
            <w:pPr>
              <w:widowControl/>
              <w:spacing w:line="28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满意度</w:t>
            </w:r>
          </w:p>
        </w:tc>
        <w:tc>
          <w:tcPr>
            <w:tcW w:w="5093" w:type="dxa"/>
            <w:tcBorders>
              <w:top w:val="single" w:color="auto" w:sz="4" w:space="0"/>
              <w:bottom w:val="single" w:color="auto" w:sz="4" w:space="0"/>
            </w:tcBorders>
            <w:vAlign w:val="center"/>
          </w:tcPr>
          <w:p>
            <w:pPr>
              <w:widowControl/>
              <w:spacing w:line="280" w:lineRule="exact"/>
              <w:jc w:val="both"/>
              <w:rPr>
                <w:rFonts w:hint="eastAsia" w:ascii="仿宋" w:hAnsi="仿宋" w:eastAsia="仿宋" w:cs="仿宋"/>
                <w:color w:val="auto"/>
                <w:kern w:val="0"/>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年度完成指标值为90.00%</w:t>
            </w:r>
            <w:r>
              <w:rPr>
                <w:rFonts w:hint="eastAsia" w:ascii="仿宋" w:hAnsi="仿宋" w:eastAsia="仿宋" w:cs="仿宋"/>
                <w:color w:val="auto"/>
                <w:kern w:val="0"/>
                <w:sz w:val="21"/>
                <w:szCs w:val="21"/>
                <w:highlight w:val="none"/>
              </w:rPr>
              <w:t>，</w:t>
            </w:r>
            <w:r>
              <w:rPr>
                <w:rFonts w:hint="eastAsia" w:ascii="仿宋" w:hAnsi="仿宋" w:eastAsia="仿宋" w:cs="仿宋"/>
                <w:color w:val="auto"/>
                <w:kern w:val="0"/>
                <w:sz w:val="21"/>
                <w:szCs w:val="21"/>
                <w:highlight w:val="none"/>
                <w:lang w:eastAsia="zh-CN"/>
              </w:rPr>
              <w:t>应包含至少两种以上的调查方式，</w:t>
            </w:r>
            <w:r>
              <w:rPr>
                <w:rFonts w:hint="eastAsia" w:ascii="仿宋" w:hAnsi="仿宋" w:eastAsia="仿宋" w:cs="仿宋"/>
                <w:color w:val="auto"/>
                <w:kern w:val="0"/>
                <w:sz w:val="21"/>
                <w:szCs w:val="21"/>
                <w:highlight w:val="none"/>
                <w:lang w:val="en-US" w:eastAsia="zh-CN" w:bidi="ar"/>
              </w:rPr>
              <w:t>100%得满分</w:t>
            </w:r>
            <w:r>
              <w:rPr>
                <w:rFonts w:hint="eastAsia" w:ascii="仿宋" w:hAnsi="仿宋" w:eastAsia="仿宋" w:cs="仿宋"/>
                <w:i w:val="0"/>
                <w:iCs w:val="0"/>
                <w:color w:val="auto"/>
                <w:kern w:val="0"/>
                <w:sz w:val="21"/>
                <w:szCs w:val="21"/>
                <w:highlight w:val="none"/>
                <w:u w:val="none"/>
                <w:lang w:val="en-US" w:eastAsia="zh-CN" w:bidi="ar"/>
              </w:rPr>
              <w:t>。</w:t>
            </w:r>
          </w:p>
        </w:tc>
        <w:tc>
          <w:tcPr>
            <w:tcW w:w="1133" w:type="dxa"/>
            <w:tcBorders>
              <w:top w:val="single" w:color="auto" w:sz="4" w:space="0"/>
              <w:bottom w:val="single" w:color="auto" w:sz="4" w:space="0"/>
            </w:tcBorders>
            <w:vAlign w:val="center"/>
          </w:tcPr>
          <w:p>
            <w:pPr>
              <w:widowControl/>
              <w:spacing w:line="280" w:lineRule="exact"/>
              <w:jc w:val="center"/>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lang w:val="en-US" w:eastAsia="zh-CN"/>
              </w:rPr>
              <w:t>4</w:t>
            </w:r>
          </w:p>
        </w:tc>
        <w:tc>
          <w:tcPr>
            <w:tcW w:w="1035" w:type="dxa"/>
            <w:tcBorders>
              <w:top w:val="single" w:color="auto" w:sz="4" w:space="0"/>
              <w:bottom w:val="single" w:color="auto" w:sz="4" w:space="0"/>
            </w:tcBorders>
            <w:vAlign w:val="center"/>
          </w:tcPr>
          <w:p>
            <w:pPr>
              <w:widowControl/>
              <w:spacing w:line="280" w:lineRule="exact"/>
              <w:jc w:val="center"/>
              <w:rPr>
                <w:rFonts w:hint="default"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3</w:t>
            </w:r>
          </w:p>
        </w:tc>
        <w:tc>
          <w:tcPr>
            <w:tcW w:w="2796" w:type="dxa"/>
            <w:tcBorders>
              <w:top w:val="single" w:color="auto" w:sz="4" w:space="0"/>
              <w:bottom w:val="single" w:color="auto" w:sz="4" w:space="0"/>
            </w:tcBorders>
            <w:vAlign w:val="center"/>
          </w:tcPr>
          <w:p>
            <w:pPr>
              <w:widowControl/>
              <w:spacing w:line="320" w:lineRule="exact"/>
              <w:jc w:val="left"/>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eastAsia="zh-CN"/>
              </w:rPr>
              <w:t>基本满意达到</w:t>
            </w:r>
            <w:r>
              <w:rPr>
                <w:rFonts w:hint="eastAsia" w:ascii="仿宋" w:hAnsi="仿宋" w:eastAsia="仿宋" w:cs="仿宋"/>
                <w:color w:val="auto"/>
                <w:kern w:val="0"/>
                <w:sz w:val="21"/>
                <w:szCs w:val="21"/>
                <w:highlight w:val="none"/>
                <w:lang w:val="en-US" w:eastAsia="zh-CN"/>
              </w:rPr>
              <w:t>100%，但未通过其他问卷调查等其他方式，</w:t>
            </w:r>
            <w:r>
              <w:rPr>
                <w:rFonts w:hint="eastAsia" w:ascii="仿宋" w:hAnsi="仿宋" w:eastAsia="仿宋" w:cs="仿宋"/>
                <w:color w:val="auto"/>
                <w:kern w:val="0"/>
                <w:sz w:val="21"/>
                <w:szCs w:val="21"/>
                <w:highlight w:val="none"/>
                <w:lang w:val="en-US" w:eastAsia="zh-CN"/>
              </w:rPr>
              <w:t>扣1分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508" w:hRule="atLeast"/>
          <w:jc w:val="center"/>
        </w:trPr>
        <w:tc>
          <w:tcPr>
            <w:tcW w:w="9314" w:type="dxa"/>
            <w:gridSpan w:val="4"/>
            <w:vAlign w:val="center"/>
          </w:tcPr>
          <w:p>
            <w:pPr>
              <w:widowControl/>
              <w:spacing w:line="28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合计</w:t>
            </w:r>
          </w:p>
        </w:tc>
        <w:tc>
          <w:tcPr>
            <w:tcW w:w="1133" w:type="dxa"/>
            <w:vAlign w:val="center"/>
          </w:tcPr>
          <w:p>
            <w:pPr>
              <w:widowControl/>
              <w:spacing w:line="280" w:lineRule="exact"/>
              <w:jc w:val="center"/>
              <w:rPr>
                <w:rFonts w:hint="eastAsia" w:ascii="仿宋" w:hAnsi="仿宋" w:eastAsia="仿宋" w:cs="仿宋"/>
                <w:color w:val="auto"/>
                <w:kern w:val="0"/>
                <w:sz w:val="24"/>
              </w:rPr>
            </w:pPr>
            <w:r>
              <w:rPr>
                <w:rFonts w:hint="eastAsia" w:ascii="仿宋" w:hAnsi="仿宋" w:eastAsia="仿宋" w:cs="仿宋"/>
                <w:color w:val="auto"/>
                <w:kern w:val="0"/>
                <w:sz w:val="24"/>
              </w:rPr>
              <w:t>100</w:t>
            </w:r>
          </w:p>
        </w:tc>
        <w:tc>
          <w:tcPr>
            <w:tcW w:w="1035" w:type="dxa"/>
            <w:vAlign w:val="center"/>
          </w:tcPr>
          <w:p>
            <w:pPr>
              <w:widowControl/>
              <w:spacing w:line="280" w:lineRule="exact"/>
              <w:jc w:val="center"/>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82</w:t>
            </w:r>
          </w:p>
        </w:tc>
        <w:tc>
          <w:tcPr>
            <w:tcW w:w="2796" w:type="dxa"/>
            <w:vAlign w:val="bottom"/>
          </w:tcPr>
          <w:p>
            <w:pPr>
              <w:widowControl/>
              <w:spacing w:line="280" w:lineRule="exact"/>
              <w:jc w:val="left"/>
              <w:rPr>
                <w:rFonts w:hint="eastAsia" w:ascii="仿宋" w:hAnsi="仿宋" w:eastAsia="仿宋" w:cs="仿宋"/>
                <w:color w:val="auto"/>
                <w:kern w:val="0"/>
                <w:sz w:val="24"/>
              </w:rPr>
            </w:pPr>
            <w:r>
              <w:rPr>
                <w:rFonts w:hint="eastAsia" w:ascii="仿宋" w:hAnsi="仿宋" w:eastAsia="仿宋" w:cs="仿宋"/>
                <w:color w:val="auto"/>
                <w:kern w:val="0"/>
                <w:sz w:val="24"/>
              </w:rPr>
              <w:t>　</w:t>
            </w:r>
          </w:p>
        </w:tc>
      </w:tr>
    </w:tbl>
    <w:p>
      <w:pPr>
        <w:spacing w:line="560" w:lineRule="exact"/>
        <w:rPr>
          <w:rFonts w:ascii="宋体"/>
          <w:color w:val="auto"/>
          <w:sz w:val="28"/>
          <w:szCs w:val="28"/>
        </w:rPr>
      </w:pPr>
    </w:p>
    <w:sectPr>
      <w:pgSz w:w="16838" w:h="11906" w:orient="landscape"/>
      <w:pgMar w:top="1474" w:right="1418" w:bottom="1474" w:left="1418" w:header="851" w:footer="1588" w:gutter="0"/>
      <w:cols w:space="720" w:num="1"/>
      <w:docGrid w:type="lines"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2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大标宋简体">
    <w:altName w:val="方正书宋_GBK"/>
    <w:panose1 w:val="02010601030101010101"/>
    <w:charset w:val="86"/>
    <w:family w:val="auto"/>
    <w:pitch w:val="default"/>
    <w:sig w:usb0="00000000" w:usb1="00000000" w:usb2="0000001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210" w:leftChars="100" w:right="210" w:rightChars="100"/>
      <w:rPr>
        <w:rStyle w:val="13"/>
        <w:rFonts w:ascii="宋体"/>
        <w:sz w:val="28"/>
        <w:szCs w:val="28"/>
      </w:rPr>
    </w:pPr>
    <w:r>
      <w:rPr>
        <w:rStyle w:val="13"/>
        <w:rFonts w:ascii="宋体" w:hAnsi="宋体" w:cs="宋体"/>
        <w:sz w:val="28"/>
        <w:szCs w:val="28"/>
      </w:rPr>
      <w:t xml:space="preserve">— </w:t>
    </w:r>
    <w:r>
      <w:rPr>
        <w:rStyle w:val="13"/>
        <w:rFonts w:ascii="宋体" w:hAnsi="宋体" w:cs="宋体"/>
        <w:sz w:val="28"/>
        <w:szCs w:val="28"/>
      </w:rPr>
      <w:fldChar w:fldCharType="begin"/>
    </w:r>
    <w:r>
      <w:rPr>
        <w:rStyle w:val="13"/>
        <w:rFonts w:ascii="宋体" w:hAnsi="宋体" w:cs="宋体"/>
        <w:sz w:val="28"/>
        <w:szCs w:val="28"/>
      </w:rPr>
      <w:instrText xml:space="preserve">PAGE  </w:instrText>
    </w:r>
    <w:r>
      <w:rPr>
        <w:rStyle w:val="13"/>
        <w:rFonts w:ascii="宋体" w:hAnsi="宋体" w:cs="宋体"/>
        <w:sz w:val="28"/>
        <w:szCs w:val="28"/>
      </w:rPr>
      <w:fldChar w:fldCharType="separate"/>
    </w:r>
    <w:r>
      <w:rPr>
        <w:rStyle w:val="13"/>
        <w:rFonts w:ascii="宋体" w:hAnsi="宋体" w:cs="宋体"/>
        <w:sz w:val="28"/>
        <w:szCs w:val="28"/>
      </w:rPr>
      <w:t>1</w:t>
    </w:r>
    <w:r>
      <w:rPr>
        <w:rStyle w:val="13"/>
        <w:rFonts w:ascii="宋体" w:hAnsi="宋体" w:cs="宋体"/>
        <w:sz w:val="28"/>
        <w:szCs w:val="28"/>
      </w:rPr>
      <w:fldChar w:fldCharType="end"/>
    </w:r>
    <w:r>
      <w:rPr>
        <w:rStyle w:val="13"/>
        <w:rFonts w:ascii="宋体" w:hAnsi="宋体" w:cs="宋体"/>
        <w:sz w:val="28"/>
        <w:szCs w:val="28"/>
      </w:rPr>
      <w:t xml:space="preserve"> —</w:t>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B1B5BD"/>
    <w:multiLevelType w:val="singleLevel"/>
    <w:tmpl w:val="C4B1B5BD"/>
    <w:lvl w:ilvl="0" w:tentative="0">
      <w:start w:val="1"/>
      <w:numFmt w:val="chineseCounting"/>
      <w:suff w:val="nothing"/>
      <w:lvlText w:val="（%1）"/>
      <w:lvlJc w:val="left"/>
      <w:pPr>
        <w:ind w:left="851"/>
      </w:pPr>
      <w:rPr>
        <w:rFonts w:hint="eastAsia"/>
      </w:rPr>
    </w:lvl>
  </w:abstractNum>
  <w:abstractNum w:abstractNumId="1">
    <w:nsid w:val="420D8C83"/>
    <w:multiLevelType w:val="singleLevel"/>
    <w:tmpl w:val="420D8C83"/>
    <w:lvl w:ilvl="0" w:tentative="0">
      <w:start w:val="1"/>
      <w:numFmt w:val="decimal"/>
      <w:lvlText w:val="%1."/>
      <w:lvlJc w:val="left"/>
      <w:pPr>
        <w:tabs>
          <w:tab w:val="left" w:pos="312"/>
        </w:tabs>
      </w:pPr>
    </w:lvl>
  </w:abstractNum>
  <w:abstractNum w:abstractNumId="2">
    <w:nsid w:val="547D3471"/>
    <w:multiLevelType w:val="singleLevel"/>
    <w:tmpl w:val="547D3471"/>
    <w:lvl w:ilvl="0" w:tentative="0">
      <w:start w:val="1"/>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NotTrackMoves/>
  <w:documentProtection w:enforcement="0"/>
  <w:defaultTabStop w:val="420"/>
  <w:doNotHyphenateCaps/>
  <w:drawingGridHorizontalSpacing w:val="105"/>
  <w:drawingGridVerticalSpacing w:val="292"/>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636"/>
    <w:rsid w:val="00007847"/>
    <w:rsid w:val="00016CA8"/>
    <w:rsid w:val="00017715"/>
    <w:rsid w:val="00021AB9"/>
    <w:rsid w:val="00026FD8"/>
    <w:rsid w:val="00031156"/>
    <w:rsid w:val="00031EC4"/>
    <w:rsid w:val="00032A2B"/>
    <w:rsid w:val="00054D38"/>
    <w:rsid w:val="00056996"/>
    <w:rsid w:val="00061C0C"/>
    <w:rsid w:val="000707AC"/>
    <w:rsid w:val="000723CD"/>
    <w:rsid w:val="00075A0C"/>
    <w:rsid w:val="00080090"/>
    <w:rsid w:val="00086A83"/>
    <w:rsid w:val="000A5B2F"/>
    <w:rsid w:val="000B0FD3"/>
    <w:rsid w:val="000B1EC5"/>
    <w:rsid w:val="000B6E60"/>
    <w:rsid w:val="000C6474"/>
    <w:rsid w:val="000C71C6"/>
    <w:rsid w:val="000D2180"/>
    <w:rsid w:val="000D779A"/>
    <w:rsid w:val="000E3C69"/>
    <w:rsid w:val="000E6893"/>
    <w:rsid w:val="000F032E"/>
    <w:rsid w:val="000F71FA"/>
    <w:rsid w:val="001015C3"/>
    <w:rsid w:val="00104D16"/>
    <w:rsid w:val="001177FB"/>
    <w:rsid w:val="00127779"/>
    <w:rsid w:val="00131B5A"/>
    <w:rsid w:val="001419F3"/>
    <w:rsid w:val="00151829"/>
    <w:rsid w:val="001541EC"/>
    <w:rsid w:val="001716E1"/>
    <w:rsid w:val="00172A27"/>
    <w:rsid w:val="0018433B"/>
    <w:rsid w:val="00184630"/>
    <w:rsid w:val="001A2926"/>
    <w:rsid w:val="001A5285"/>
    <w:rsid w:val="001A784B"/>
    <w:rsid w:val="001C16EA"/>
    <w:rsid w:val="001C4F7F"/>
    <w:rsid w:val="001D1D5E"/>
    <w:rsid w:val="001D6A8A"/>
    <w:rsid w:val="001D7C70"/>
    <w:rsid w:val="001E0C88"/>
    <w:rsid w:val="001E11FD"/>
    <w:rsid w:val="001E1AAF"/>
    <w:rsid w:val="001E2D1F"/>
    <w:rsid w:val="001F4605"/>
    <w:rsid w:val="002419C4"/>
    <w:rsid w:val="002420F6"/>
    <w:rsid w:val="002479F4"/>
    <w:rsid w:val="00252AD5"/>
    <w:rsid w:val="00260C51"/>
    <w:rsid w:val="00287D4E"/>
    <w:rsid w:val="002B7F44"/>
    <w:rsid w:val="002C0811"/>
    <w:rsid w:val="002E233A"/>
    <w:rsid w:val="002E516A"/>
    <w:rsid w:val="002F0A87"/>
    <w:rsid w:val="002F52D6"/>
    <w:rsid w:val="00307F3E"/>
    <w:rsid w:val="00310DBD"/>
    <w:rsid w:val="003214FD"/>
    <w:rsid w:val="00321507"/>
    <w:rsid w:val="003351B8"/>
    <w:rsid w:val="00343109"/>
    <w:rsid w:val="00352ECD"/>
    <w:rsid w:val="00376E9B"/>
    <w:rsid w:val="003A4DB8"/>
    <w:rsid w:val="003A5333"/>
    <w:rsid w:val="003B1779"/>
    <w:rsid w:val="003B430F"/>
    <w:rsid w:val="003C745B"/>
    <w:rsid w:val="003D056D"/>
    <w:rsid w:val="003E3785"/>
    <w:rsid w:val="003E6E72"/>
    <w:rsid w:val="003F0981"/>
    <w:rsid w:val="003F49BE"/>
    <w:rsid w:val="00400976"/>
    <w:rsid w:val="004055A0"/>
    <w:rsid w:val="00407557"/>
    <w:rsid w:val="00422124"/>
    <w:rsid w:val="0042669B"/>
    <w:rsid w:val="00431B1C"/>
    <w:rsid w:val="00435550"/>
    <w:rsid w:val="00437761"/>
    <w:rsid w:val="004414C4"/>
    <w:rsid w:val="004418E3"/>
    <w:rsid w:val="004419C0"/>
    <w:rsid w:val="004431B7"/>
    <w:rsid w:val="00465634"/>
    <w:rsid w:val="004A2CA4"/>
    <w:rsid w:val="004A7890"/>
    <w:rsid w:val="004D0289"/>
    <w:rsid w:val="004D2AC3"/>
    <w:rsid w:val="004F2707"/>
    <w:rsid w:val="00503851"/>
    <w:rsid w:val="0051564C"/>
    <w:rsid w:val="005221F4"/>
    <w:rsid w:val="0052387C"/>
    <w:rsid w:val="00525E72"/>
    <w:rsid w:val="005330A5"/>
    <w:rsid w:val="00557B91"/>
    <w:rsid w:val="00563119"/>
    <w:rsid w:val="005740F1"/>
    <w:rsid w:val="005A6617"/>
    <w:rsid w:val="005A6685"/>
    <w:rsid w:val="005A7BEE"/>
    <w:rsid w:val="005B082F"/>
    <w:rsid w:val="005B10C8"/>
    <w:rsid w:val="005C2660"/>
    <w:rsid w:val="005C78D8"/>
    <w:rsid w:val="00600A86"/>
    <w:rsid w:val="00604611"/>
    <w:rsid w:val="00613185"/>
    <w:rsid w:val="00620E72"/>
    <w:rsid w:val="006232B0"/>
    <w:rsid w:val="0063572A"/>
    <w:rsid w:val="006412A8"/>
    <w:rsid w:val="00652D74"/>
    <w:rsid w:val="006538FA"/>
    <w:rsid w:val="006602E4"/>
    <w:rsid w:val="00664155"/>
    <w:rsid w:val="0067057D"/>
    <w:rsid w:val="006745E7"/>
    <w:rsid w:val="00676FF2"/>
    <w:rsid w:val="006866EE"/>
    <w:rsid w:val="0069440C"/>
    <w:rsid w:val="006A422C"/>
    <w:rsid w:val="006C15BF"/>
    <w:rsid w:val="006C1B0D"/>
    <w:rsid w:val="006D7487"/>
    <w:rsid w:val="007031DC"/>
    <w:rsid w:val="00713A25"/>
    <w:rsid w:val="0072340B"/>
    <w:rsid w:val="007254B4"/>
    <w:rsid w:val="007265A1"/>
    <w:rsid w:val="00732B56"/>
    <w:rsid w:val="007413E3"/>
    <w:rsid w:val="00745706"/>
    <w:rsid w:val="00746AED"/>
    <w:rsid w:val="007522D7"/>
    <w:rsid w:val="007611BC"/>
    <w:rsid w:val="007735FA"/>
    <w:rsid w:val="00774FCD"/>
    <w:rsid w:val="00775545"/>
    <w:rsid w:val="00777B78"/>
    <w:rsid w:val="007827D4"/>
    <w:rsid w:val="007946CC"/>
    <w:rsid w:val="00797037"/>
    <w:rsid w:val="007A3A7A"/>
    <w:rsid w:val="007B35E5"/>
    <w:rsid w:val="007B5D6E"/>
    <w:rsid w:val="007C3FA5"/>
    <w:rsid w:val="007C7508"/>
    <w:rsid w:val="007D7E1B"/>
    <w:rsid w:val="007E1EFD"/>
    <w:rsid w:val="007E26BC"/>
    <w:rsid w:val="007E675C"/>
    <w:rsid w:val="007F4A15"/>
    <w:rsid w:val="00815652"/>
    <w:rsid w:val="00827055"/>
    <w:rsid w:val="008633DC"/>
    <w:rsid w:val="0087276D"/>
    <w:rsid w:val="008767CA"/>
    <w:rsid w:val="00877B27"/>
    <w:rsid w:val="00883646"/>
    <w:rsid w:val="0088631E"/>
    <w:rsid w:val="00895E7B"/>
    <w:rsid w:val="00895F04"/>
    <w:rsid w:val="008A328E"/>
    <w:rsid w:val="008B27BE"/>
    <w:rsid w:val="008B3E1E"/>
    <w:rsid w:val="008D2F24"/>
    <w:rsid w:val="008E15B1"/>
    <w:rsid w:val="008E3F13"/>
    <w:rsid w:val="008E747C"/>
    <w:rsid w:val="008F0E65"/>
    <w:rsid w:val="008F4792"/>
    <w:rsid w:val="009025AC"/>
    <w:rsid w:val="00935512"/>
    <w:rsid w:val="0095383A"/>
    <w:rsid w:val="00964C5E"/>
    <w:rsid w:val="00970DAC"/>
    <w:rsid w:val="0097347F"/>
    <w:rsid w:val="00976FD5"/>
    <w:rsid w:val="00990BA3"/>
    <w:rsid w:val="00997C16"/>
    <w:rsid w:val="009B43A9"/>
    <w:rsid w:val="009B73E4"/>
    <w:rsid w:val="009D1939"/>
    <w:rsid w:val="009D353A"/>
    <w:rsid w:val="009D38EC"/>
    <w:rsid w:val="009F7B9F"/>
    <w:rsid w:val="00A10160"/>
    <w:rsid w:val="00A32C18"/>
    <w:rsid w:val="00A574E7"/>
    <w:rsid w:val="00A6112A"/>
    <w:rsid w:val="00A713AB"/>
    <w:rsid w:val="00A75D59"/>
    <w:rsid w:val="00A93A4D"/>
    <w:rsid w:val="00A96D16"/>
    <w:rsid w:val="00AA0CE2"/>
    <w:rsid w:val="00AB15F8"/>
    <w:rsid w:val="00AC40C6"/>
    <w:rsid w:val="00AC7133"/>
    <w:rsid w:val="00AD4B78"/>
    <w:rsid w:val="00AE61AD"/>
    <w:rsid w:val="00AF4DD5"/>
    <w:rsid w:val="00B00EFE"/>
    <w:rsid w:val="00B0401E"/>
    <w:rsid w:val="00B132DC"/>
    <w:rsid w:val="00B16B71"/>
    <w:rsid w:val="00B20B0E"/>
    <w:rsid w:val="00B547C3"/>
    <w:rsid w:val="00B63DCB"/>
    <w:rsid w:val="00B701EB"/>
    <w:rsid w:val="00B756B2"/>
    <w:rsid w:val="00B84EB9"/>
    <w:rsid w:val="00B9470E"/>
    <w:rsid w:val="00B973EC"/>
    <w:rsid w:val="00BA7395"/>
    <w:rsid w:val="00BA75DD"/>
    <w:rsid w:val="00BB12B7"/>
    <w:rsid w:val="00BB5431"/>
    <w:rsid w:val="00BC76F1"/>
    <w:rsid w:val="00BD3618"/>
    <w:rsid w:val="00BD388C"/>
    <w:rsid w:val="00BF5BEF"/>
    <w:rsid w:val="00BF6FE6"/>
    <w:rsid w:val="00C15719"/>
    <w:rsid w:val="00C21EC5"/>
    <w:rsid w:val="00C233A4"/>
    <w:rsid w:val="00C475D8"/>
    <w:rsid w:val="00C5255A"/>
    <w:rsid w:val="00C529A4"/>
    <w:rsid w:val="00C664CA"/>
    <w:rsid w:val="00C70019"/>
    <w:rsid w:val="00C73FD3"/>
    <w:rsid w:val="00C83750"/>
    <w:rsid w:val="00C86A9D"/>
    <w:rsid w:val="00CA10F4"/>
    <w:rsid w:val="00CE25D7"/>
    <w:rsid w:val="00CE3717"/>
    <w:rsid w:val="00CE4670"/>
    <w:rsid w:val="00CE7D6E"/>
    <w:rsid w:val="00CF28CE"/>
    <w:rsid w:val="00CF2ECF"/>
    <w:rsid w:val="00D121C4"/>
    <w:rsid w:val="00D3347C"/>
    <w:rsid w:val="00D4110E"/>
    <w:rsid w:val="00D4209B"/>
    <w:rsid w:val="00D4669A"/>
    <w:rsid w:val="00D51966"/>
    <w:rsid w:val="00D55C2F"/>
    <w:rsid w:val="00D64813"/>
    <w:rsid w:val="00D73230"/>
    <w:rsid w:val="00D80EE4"/>
    <w:rsid w:val="00D95A3B"/>
    <w:rsid w:val="00D97555"/>
    <w:rsid w:val="00DA1159"/>
    <w:rsid w:val="00DD2D1B"/>
    <w:rsid w:val="00E21340"/>
    <w:rsid w:val="00E240B4"/>
    <w:rsid w:val="00E2486A"/>
    <w:rsid w:val="00E30A18"/>
    <w:rsid w:val="00E3147C"/>
    <w:rsid w:val="00E522AF"/>
    <w:rsid w:val="00E6530B"/>
    <w:rsid w:val="00E7019E"/>
    <w:rsid w:val="00E73C50"/>
    <w:rsid w:val="00EA05F5"/>
    <w:rsid w:val="00EA386C"/>
    <w:rsid w:val="00EA46E5"/>
    <w:rsid w:val="00EB0234"/>
    <w:rsid w:val="00ED3C90"/>
    <w:rsid w:val="00ED3E19"/>
    <w:rsid w:val="00EE1D20"/>
    <w:rsid w:val="00EE3FE4"/>
    <w:rsid w:val="00EF48FB"/>
    <w:rsid w:val="00EF63E3"/>
    <w:rsid w:val="00F0197C"/>
    <w:rsid w:val="00F02D49"/>
    <w:rsid w:val="00F05FB7"/>
    <w:rsid w:val="00F26025"/>
    <w:rsid w:val="00F26402"/>
    <w:rsid w:val="00F35F49"/>
    <w:rsid w:val="00F43092"/>
    <w:rsid w:val="00F462F6"/>
    <w:rsid w:val="00F53032"/>
    <w:rsid w:val="00F53CA5"/>
    <w:rsid w:val="00F5424C"/>
    <w:rsid w:val="00F6459A"/>
    <w:rsid w:val="00F71924"/>
    <w:rsid w:val="00FA0293"/>
    <w:rsid w:val="00FA3EB0"/>
    <w:rsid w:val="00FC1D50"/>
    <w:rsid w:val="00FC50FF"/>
    <w:rsid w:val="00FD1F9E"/>
    <w:rsid w:val="00FD44CB"/>
    <w:rsid w:val="00FD7EA4"/>
    <w:rsid w:val="00FF3263"/>
    <w:rsid w:val="0138266C"/>
    <w:rsid w:val="01410827"/>
    <w:rsid w:val="016A2B63"/>
    <w:rsid w:val="017A4A65"/>
    <w:rsid w:val="019C463A"/>
    <w:rsid w:val="01BC387C"/>
    <w:rsid w:val="023C2397"/>
    <w:rsid w:val="024246BB"/>
    <w:rsid w:val="024E6368"/>
    <w:rsid w:val="02661FEE"/>
    <w:rsid w:val="02A97FBF"/>
    <w:rsid w:val="02DD5008"/>
    <w:rsid w:val="036A3DB3"/>
    <w:rsid w:val="037528D9"/>
    <w:rsid w:val="03AD498E"/>
    <w:rsid w:val="03FA51C1"/>
    <w:rsid w:val="03FD4180"/>
    <w:rsid w:val="04143CBB"/>
    <w:rsid w:val="042302A0"/>
    <w:rsid w:val="04292CF4"/>
    <w:rsid w:val="04537D50"/>
    <w:rsid w:val="04AB3033"/>
    <w:rsid w:val="05107A27"/>
    <w:rsid w:val="05201DB7"/>
    <w:rsid w:val="053328E0"/>
    <w:rsid w:val="053349C1"/>
    <w:rsid w:val="05463956"/>
    <w:rsid w:val="055E5395"/>
    <w:rsid w:val="057B2CCB"/>
    <w:rsid w:val="05A841F6"/>
    <w:rsid w:val="05D130C2"/>
    <w:rsid w:val="05D5035D"/>
    <w:rsid w:val="05D61373"/>
    <w:rsid w:val="05EB44A9"/>
    <w:rsid w:val="05FE64C9"/>
    <w:rsid w:val="061E0F1A"/>
    <w:rsid w:val="064A2C33"/>
    <w:rsid w:val="069C6FB2"/>
    <w:rsid w:val="06AA056A"/>
    <w:rsid w:val="06B5737E"/>
    <w:rsid w:val="06C523A3"/>
    <w:rsid w:val="06C707B7"/>
    <w:rsid w:val="06DB6188"/>
    <w:rsid w:val="06E17904"/>
    <w:rsid w:val="06FC35AD"/>
    <w:rsid w:val="070E2667"/>
    <w:rsid w:val="072408B5"/>
    <w:rsid w:val="072B71CC"/>
    <w:rsid w:val="07675A21"/>
    <w:rsid w:val="07690CE6"/>
    <w:rsid w:val="077D7D51"/>
    <w:rsid w:val="0781790F"/>
    <w:rsid w:val="07883959"/>
    <w:rsid w:val="0788465B"/>
    <w:rsid w:val="079F5BAE"/>
    <w:rsid w:val="07BA096E"/>
    <w:rsid w:val="07D91D50"/>
    <w:rsid w:val="07E16DAB"/>
    <w:rsid w:val="07F3448A"/>
    <w:rsid w:val="085A00C9"/>
    <w:rsid w:val="086868CC"/>
    <w:rsid w:val="08694A5B"/>
    <w:rsid w:val="08950050"/>
    <w:rsid w:val="08C45F4B"/>
    <w:rsid w:val="08C6280A"/>
    <w:rsid w:val="08ED4DDA"/>
    <w:rsid w:val="09086864"/>
    <w:rsid w:val="090E62B1"/>
    <w:rsid w:val="09225281"/>
    <w:rsid w:val="095879FE"/>
    <w:rsid w:val="096B4387"/>
    <w:rsid w:val="098328B6"/>
    <w:rsid w:val="0998665F"/>
    <w:rsid w:val="09AD4EE5"/>
    <w:rsid w:val="09CA185F"/>
    <w:rsid w:val="09CF4571"/>
    <w:rsid w:val="09D2205E"/>
    <w:rsid w:val="09DE630A"/>
    <w:rsid w:val="09F737EC"/>
    <w:rsid w:val="0A140DC3"/>
    <w:rsid w:val="0A1A7E90"/>
    <w:rsid w:val="0A3E0327"/>
    <w:rsid w:val="0A8D7138"/>
    <w:rsid w:val="0AA27EA5"/>
    <w:rsid w:val="0AAC5A9C"/>
    <w:rsid w:val="0ABC6C7A"/>
    <w:rsid w:val="0AC33653"/>
    <w:rsid w:val="0AC51747"/>
    <w:rsid w:val="0AEA2BEB"/>
    <w:rsid w:val="0AEE5979"/>
    <w:rsid w:val="0B090415"/>
    <w:rsid w:val="0B14209E"/>
    <w:rsid w:val="0B156206"/>
    <w:rsid w:val="0B190B37"/>
    <w:rsid w:val="0B1D1710"/>
    <w:rsid w:val="0B4616B2"/>
    <w:rsid w:val="0B6D5E6D"/>
    <w:rsid w:val="0B7A01A9"/>
    <w:rsid w:val="0B836F41"/>
    <w:rsid w:val="0B847DE7"/>
    <w:rsid w:val="0B94759D"/>
    <w:rsid w:val="0BB967E5"/>
    <w:rsid w:val="0BEE5433"/>
    <w:rsid w:val="0C033ACC"/>
    <w:rsid w:val="0C30097E"/>
    <w:rsid w:val="0C5379C9"/>
    <w:rsid w:val="0C5851DB"/>
    <w:rsid w:val="0C72541F"/>
    <w:rsid w:val="0C875AE9"/>
    <w:rsid w:val="0C9A3F4B"/>
    <w:rsid w:val="0C9D747A"/>
    <w:rsid w:val="0CB0790A"/>
    <w:rsid w:val="0CBA459C"/>
    <w:rsid w:val="0CBF6921"/>
    <w:rsid w:val="0D247A18"/>
    <w:rsid w:val="0D7D3A22"/>
    <w:rsid w:val="0DA27E96"/>
    <w:rsid w:val="0DD16F1D"/>
    <w:rsid w:val="0DE5094A"/>
    <w:rsid w:val="0DFB4B7F"/>
    <w:rsid w:val="0E604791"/>
    <w:rsid w:val="0E676AD4"/>
    <w:rsid w:val="0E6A59C2"/>
    <w:rsid w:val="0E7F2277"/>
    <w:rsid w:val="0E8E4897"/>
    <w:rsid w:val="0E9F5910"/>
    <w:rsid w:val="0EE14688"/>
    <w:rsid w:val="0EFA18D5"/>
    <w:rsid w:val="0F064955"/>
    <w:rsid w:val="0F167B94"/>
    <w:rsid w:val="0F244597"/>
    <w:rsid w:val="0F4657DC"/>
    <w:rsid w:val="0F533FE5"/>
    <w:rsid w:val="0F575DF2"/>
    <w:rsid w:val="0F6779B0"/>
    <w:rsid w:val="0F965C1D"/>
    <w:rsid w:val="0FF00692"/>
    <w:rsid w:val="10081944"/>
    <w:rsid w:val="1030390D"/>
    <w:rsid w:val="10866023"/>
    <w:rsid w:val="113A303D"/>
    <w:rsid w:val="11701997"/>
    <w:rsid w:val="11923AED"/>
    <w:rsid w:val="11AB4252"/>
    <w:rsid w:val="11C233C1"/>
    <w:rsid w:val="11DD6C46"/>
    <w:rsid w:val="11EF2346"/>
    <w:rsid w:val="11F525B6"/>
    <w:rsid w:val="121B471D"/>
    <w:rsid w:val="123A0AA6"/>
    <w:rsid w:val="129504A6"/>
    <w:rsid w:val="131D659F"/>
    <w:rsid w:val="134B024A"/>
    <w:rsid w:val="13502E5C"/>
    <w:rsid w:val="13696139"/>
    <w:rsid w:val="139A52A0"/>
    <w:rsid w:val="13A20B2B"/>
    <w:rsid w:val="13BA7D89"/>
    <w:rsid w:val="13F8518D"/>
    <w:rsid w:val="14075107"/>
    <w:rsid w:val="141A70A3"/>
    <w:rsid w:val="143966F6"/>
    <w:rsid w:val="14433C38"/>
    <w:rsid w:val="1454729E"/>
    <w:rsid w:val="14622903"/>
    <w:rsid w:val="147B11BF"/>
    <w:rsid w:val="149428B3"/>
    <w:rsid w:val="14984202"/>
    <w:rsid w:val="14C56B1C"/>
    <w:rsid w:val="14EF65C6"/>
    <w:rsid w:val="152C2892"/>
    <w:rsid w:val="15580A73"/>
    <w:rsid w:val="157B016C"/>
    <w:rsid w:val="158C36A0"/>
    <w:rsid w:val="15926654"/>
    <w:rsid w:val="159C3FF8"/>
    <w:rsid w:val="15BF6EBD"/>
    <w:rsid w:val="15F9722A"/>
    <w:rsid w:val="163205A2"/>
    <w:rsid w:val="168D120F"/>
    <w:rsid w:val="169D5CE6"/>
    <w:rsid w:val="16A1118D"/>
    <w:rsid w:val="16B739B5"/>
    <w:rsid w:val="16BE1065"/>
    <w:rsid w:val="16CE195E"/>
    <w:rsid w:val="16FE6E18"/>
    <w:rsid w:val="171A2BD6"/>
    <w:rsid w:val="17203F13"/>
    <w:rsid w:val="17424826"/>
    <w:rsid w:val="174C4D7F"/>
    <w:rsid w:val="175E7584"/>
    <w:rsid w:val="17780248"/>
    <w:rsid w:val="177A0BD3"/>
    <w:rsid w:val="178C441C"/>
    <w:rsid w:val="179464D8"/>
    <w:rsid w:val="179D32A5"/>
    <w:rsid w:val="17E66C09"/>
    <w:rsid w:val="17FD558C"/>
    <w:rsid w:val="180209DF"/>
    <w:rsid w:val="182F01A3"/>
    <w:rsid w:val="186E3B66"/>
    <w:rsid w:val="18BE5C1A"/>
    <w:rsid w:val="1910759F"/>
    <w:rsid w:val="191B48BD"/>
    <w:rsid w:val="191F4D2E"/>
    <w:rsid w:val="194549D9"/>
    <w:rsid w:val="196D11F1"/>
    <w:rsid w:val="196D32F6"/>
    <w:rsid w:val="19910687"/>
    <w:rsid w:val="19A84DCD"/>
    <w:rsid w:val="19CB5722"/>
    <w:rsid w:val="19EA1DDC"/>
    <w:rsid w:val="1A1D548E"/>
    <w:rsid w:val="1A1F494C"/>
    <w:rsid w:val="1A293935"/>
    <w:rsid w:val="1A393D33"/>
    <w:rsid w:val="1A6319FF"/>
    <w:rsid w:val="1A832AF8"/>
    <w:rsid w:val="1AD11683"/>
    <w:rsid w:val="1AE305B1"/>
    <w:rsid w:val="1AF50005"/>
    <w:rsid w:val="1B2257EB"/>
    <w:rsid w:val="1B2D0737"/>
    <w:rsid w:val="1B883D24"/>
    <w:rsid w:val="1B8D355D"/>
    <w:rsid w:val="1B9A2991"/>
    <w:rsid w:val="1B9A4716"/>
    <w:rsid w:val="1BAF532C"/>
    <w:rsid w:val="1C2B701E"/>
    <w:rsid w:val="1C350798"/>
    <w:rsid w:val="1C623275"/>
    <w:rsid w:val="1C7147A4"/>
    <w:rsid w:val="1C9B4B07"/>
    <w:rsid w:val="1CFB267D"/>
    <w:rsid w:val="1D092308"/>
    <w:rsid w:val="1D0E5848"/>
    <w:rsid w:val="1D5E206A"/>
    <w:rsid w:val="1D770937"/>
    <w:rsid w:val="1DC74CD5"/>
    <w:rsid w:val="1DCD4831"/>
    <w:rsid w:val="1DCE636D"/>
    <w:rsid w:val="1DE43E33"/>
    <w:rsid w:val="1DEF3C6C"/>
    <w:rsid w:val="1E230CF9"/>
    <w:rsid w:val="1E2A2254"/>
    <w:rsid w:val="1E457EB1"/>
    <w:rsid w:val="1E5064D2"/>
    <w:rsid w:val="1E642033"/>
    <w:rsid w:val="1ECA504C"/>
    <w:rsid w:val="1F2D4139"/>
    <w:rsid w:val="1F357611"/>
    <w:rsid w:val="1F3C5DDD"/>
    <w:rsid w:val="1F575FD7"/>
    <w:rsid w:val="1F587396"/>
    <w:rsid w:val="1F5B1AE9"/>
    <w:rsid w:val="1F640BF5"/>
    <w:rsid w:val="1F675C12"/>
    <w:rsid w:val="1F701025"/>
    <w:rsid w:val="1F7B14BB"/>
    <w:rsid w:val="1F8D4389"/>
    <w:rsid w:val="1F980D5B"/>
    <w:rsid w:val="1FB008F7"/>
    <w:rsid w:val="1FCC2C88"/>
    <w:rsid w:val="1FD20D3E"/>
    <w:rsid w:val="20025F31"/>
    <w:rsid w:val="200F5499"/>
    <w:rsid w:val="201B23D5"/>
    <w:rsid w:val="20483041"/>
    <w:rsid w:val="2067606F"/>
    <w:rsid w:val="20E3255F"/>
    <w:rsid w:val="20E977DD"/>
    <w:rsid w:val="20FC3918"/>
    <w:rsid w:val="21047BA2"/>
    <w:rsid w:val="212544FC"/>
    <w:rsid w:val="212A6CBA"/>
    <w:rsid w:val="215934C0"/>
    <w:rsid w:val="21770341"/>
    <w:rsid w:val="217F0425"/>
    <w:rsid w:val="21802795"/>
    <w:rsid w:val="21B54719"/>
    <w:rsid w:val="21BE6111"/>
    <w:rsid w:val="2208350E"/>
    <w:rsid w:val="22201E5F"/>
    <w:rsid w:val="22243B57"/>
    <w:rsid w:val="22363AC9"/>
    <w:rsid w:val="224B0147"/>
    <w:rsid w:val="227F2264"/>
    <w:rsid w:val="22C41055"/>
    <w:rsid w:val="22CA532F"/>
    <w:rsid w:val="22F87D31"/>
    <w:rsid w:val="232B47FE"/>
    <w:rsid w:val="23856442"/>
    <w:rsid w:val="2396176B"/>
    <w:rsid w:val="239F3FF0"/>
    <w:rsid w:val="23A662B1"/>
    <w:rsid w:val="23AC56F0"/>
    <w:rsid w:val="24265CA7"/>
    <w:rsid w:val="24345C5E"/>
    <w:rsid w:val="24536177"/>
    <w:rsid w:val="248B15AF"/>
    <w:rsid w:val="249154D6"/>
    <w:rsid w:val="24963751"/>
    <w:rsid w:val="24F64380"/>
    <w:rsid w:val="24F96668"/>
    <w:rsid w:val="25096ACD"/>
    <w:rsid w:val="25512DFE"/>
    <w:rsid w:val="25515683"/>
    <w:rsid w:val="255F1F73"/>
    <w:rsid w:val="257402D2"/>
    <w:rsid w:val="258201E2"/>
    <w:rsid w:val="2583602C"/>
    <w:rsid w:val="259118C9"/>
    <w:rsid w:val="25A9479F"/>
    <w:rsid w:val="25A97C57"/>
    <w:rsid w:val="25BD00FE"/>
    <w:rsid w:val="25D647F8"/>
    <w:rsid w:val="25E121BA"/>
    <w:rsid w:val="25E863C9"/>
    <w:rsid w:val="25EE029E"/>
    <w:rsid w:val="260D3FD5"/>
    <w:rsid w:val="262A02BB"/>
    <w:rsid w:val="2667215F"/>
    <w:rsid w:val="26B06378"/>
    <w:rsid w:val="26C12714"/>
    <w:rsid w:val="26C97430"/>
    <w:rsid w:val="276F4634"/>
    <w:rsid w:val="27816868"/>
    <w:rsid w:val="27873015"/>
    <w:rsid w:val="2789422D"/>
    <w:rsid w:val="278A7E9C"/>
    <w:rsid w:val="278E7FD9"/>
    <w:rsid w:val="279701A6"/>
    <w:rsid w:val="279B572F"/>
    <w:rsid w:val="27BF77CD"/>
    <w:rsid w:val="281A7247"/>
    <w:rsid w:val="28395A62"/>
    <w:rsid w:val="283D4CCF"/>
    <w:rsid w:val="28537A5B"/>
    <w:rsid w:val="28874F45"/>
    <w:rsid w:val="28D34B04"/>
    <w:rsid w:val="28F355C3"/>
    <w:rsid w:val="290B1F0D"/>
    <w:rsid w:val="291C763A"/>
    <w:rsid w:val="29283FF3"/>
    <w:rsid w:val="292D0C15"/>
    <w:rsid w:val="29387837"/>
    <w:rsid w:val="293F7CEA"/>
    <w:rsid w:val="29584EFE"/>
    <w:rsid w:val="2965234B"/>
    <w:rsid w:val="2973739B"/>
    <w:rsid w:val="2975663E"/>
    <w:rsid w:val="297A67E9"/>
    <w:rsid w:val="29E40094"/>
    <w:rsid w:val="2A080B63"/>
    <w:rsid w:val="2A573629"/>
    <w:rsid w:val="2A5B0B1F"/>
    <w:rsid w:val="2A6E6985"/>
    <w:rsid w:val="2A746957"/>
    <w:rsid w:val="2AA959E2"/>
    <w:rsid w:val="2ABA24CE"/>
    <w:rsid w:val="2B035386"/>
    <w:rsid w:val="2B433465"/>
    <w:rsid w:val="2B67177D"/>
    <w:rsid w:val="2B8E7F99"/>
    <w:rsid w:val="2BAF7101"/>
    <w:rsid w:val="2BB32CC9"/>
    <w:rsid w:val="2BC0004D"/>
    <w:rsid w:val="2C4311AB"/>
    <w:rsid w:val="2C44291A"/>
    <w:rsid w:val="2C5113AD"/>
    <w:rsid w:val="2C6C1017"/>
    <w:rsid w:val="2C6F0C43"/>
    <w:rsid w:val="2C945EA7"/>
    <w:rsid w:val="2CBC3B1C"/>
    <w:rsid w:val="2CD479D2"/>
    <w:rsid w:val="2CE04FE1"/>
    <w:rsid w:val="2D053A52"/>
    <w:rsid w:val="2D5C2560"/>
    <w:rsid w:val="2D5E12F0"/>
    <w:rsid w:val="2D6B7729"/>
    <w:rsid w:val="2D7C61DF"/>
    <w:rsid w:val="2D820E1E"/>
    <w:rsid w:val="2D8B7123"/>
    <w:rsid w:val="2E18344C"/>
    <w:rsid w:val="2E6A31EB"/>
    <w:rsid w:val="2E7F5898"/>
    <w:rsid w:val="2EBD2B43"/>
    <w:rsid w:val="2ED357B2"/>
    <w:rsid w:val="2EF25D79"/>
    <w:rsid w:val="2EF43B21"/>
    <w:rsid w:val="2F060D33"/>
    <w:rsid w:val="2F266384"/>
    <w:rsid w:val="2F4E77C8"/>
    <w:rsid w:val="2F5E6E62"/>
    <w:rsid w:val="2F6049F4"/>
    <w:rsid w:val="2F966E25"/>
    <w:rsid w:val="2F9F2533"/>
    <w:rsid w:val="2FAD2601"/>
    <w:rsid w:val="2FE00508"/>
    <w:rsid w:val="2FEE6A57"/>
    <w:rsid w:val="2FF61321"/>
    <w:rsid w:val="30067EC1"/>
    <w:rsid w:val="3016215D"/>
    <w:rsid w:val="30660FBB"/>
    <w:rsid w:val="30721713"/>
    <w:rsid w:val="30755170"/>
    <w:rsid w:val="3081223E"/>
    <w:rsid w:val="30980BBB"/>
    <w:rsid w:val="30D61842"/>
    <w:rsid w:val="312643A7"/>
    <w:rsid w:val="31422C3D"/>
    <w:rsid w:val="316929BA"/>
    <w:rsid w:val="31716292"/>
    <w:rsid w:val="317E7135"/>
    <w:rsid w:val="318F1F19"/>
    <w:rsid w:val="318F20E2"/>
    <w:rsid w:val="31A26C9B"/>
    <w:rsid w:val="31E50B3E"/>
    <w:rsid w:val="321230D7"/>
    <w:rsid w:val="324A0D23"/>
    <w:rsid w:val="32A12316"/>
    <w:rsid w:val="32AA5E30"/>
    <w:rsid w:val="32AB3029"/>
    <w:rsid w:val="32CF5435"/>
    <w:rsid w:val="32F3043C"/>
    <w:rsid w:val="33570485"/>
    <w:rsid w:val="336A1B66"/>
    <w:rsid w:val="336C7D94"/>
    <w:rsid w:val="33F30BEC"/>
    <w:rsid w:val="3407638F"/>
    <w:rsid w:val="340829BA"/>
    <w:rsid w:val="341F140B"/>
    <w:rsid w:val="342D06C7"/>
    <w:rsid w:val="343522B9"/>
    <w:rsid w:val="343D2E93"/>
    <w:rsid w:val="34677222"/>
    <w:rsid w:val="34746ECC"/>
    <w:rsid w:val="348217F3"/>
    <w:rsid w:val="348D48C1"/>
    <w:rsid w:val="349E5ACE"/>
    <w:rsid w:val="34CA1DFD"/>
    <w:rsid w:val="34D60CEA"/>
    <w:rsid w:val="34E25973"/>
    <w:rsid w:val="350509C2"/>
    <w:rsid w:val="350C5EA3"/>
    <w:rsid w:val="35251345"/>
    <w:rsid w:val="358963B7"/>
    <w:rsid w:val="35B60AA6"/>
    <w:rsid w:val="35BF5C0C"/>
    <w:rsid w:val="35F249E8"/>
    <w:rsid w:val="36031DD2"/>
    <w:rsid w:val="361B3EE1"/>
    <w:rsid w:val="363323F5"/>
    <w:rsid w:val="36664A88"/>
    <w:rsid w:val="36DC0456"/>
    <w:rsid w:val="36EC4773"/>
    <w:rsid w:val="3708202D"/>
    <w:rsid w:val="370B48BD"/>
    <w:rsid w:val="371266FD"/>
    <w:rsid w:val="37172C5B"/>
    <w:rsid w:val="372D73E4"/>
    <w:rsid w:val="37465A46"/>
    <w:rsid w:val="37550F0C"/>
    <w:rsid w:val="376E1D2C"/>
    <w:rsid w:val="37715941"/>
    <w:rsid w:val="378F11D4"/>
    <w:rsid w:val="37900D8F"/>
    <w:rsid w:val="37C975E2"/>
    <w:rsid w:val="37F213E3"/>
    <w:rsid w:val="38390D89"/>
    <w:rsid w:val="383A1128"/>
    <w:rsid w:val="388D3300"/>
    <w:rsid w:val="38EE7FB0"/>
    <w:rsid w:val="3928420C"/>
    <w:rsid w:val="394005F3"/>
    <w:rsid w:val="39475D18"/>
    <w:rsid w:val="395255B5"/>
    <w:rsid w:val="3990111A"/>
    <w:rsid w:val="39B84828"/>
    <w:rsid w:val="39BF548A"/>
    <w:rsid w:val="39C16A1A"/>
    <w:rsid w:val="39CD216D"/>
    <w:rsid w:val="39D750A2"/>
    <w:rsid w:val="39EB415E"/>
    <w:rsid w:val="39F465FD"/>
    <w:rsid w:val="39FA04C1"/>
    <w:rsid w:val="3A6038E5"/>
    <w:rsid w:val="3A6F7242"/>
    <w:rsid w:val="3A801378"/>
    <w:rsid w:val="3A8C188C"/>
    <w:rsid w:val="3A9231A4"/>
    <w:rsid w:val="3A995290"/>
    <w:rsid w:val="3AA67F19"/>
    <w:rsid w:val="3B010D6E"/>
    <w:rsid w:val="3B095212"/>
    <w:rsid w:val="3B44115B"/>
    <w:rsid w:val="3B650090"/>
    <w:rsid w:val="3B6E55E2"/>
    <w:rsid w:val="3BC05475"/>
    <w:rsid w:val="3BCB4B07"/>
    <w:rsid w:val="3BE57FAB"/>
    <w:rsid w:val="3C92252A"/>
    <w:rsid w:val="3CBE09A0"/>
    <w:rsid w:val="3CC74FC0"/>
    <w:rsid w:val="3CE71F57"/>
    <w:rsid w:val="3D603A1E"/>
    <w:rsid w:val="3D722ADC"/>
    <w:rsid w:val="3DB1112D"/>
    <w:rsid w:val="3DB82375"/>
    <w:rsid w:val="3DD97647"/>
    <w:rsid w:val="3DE36EE7"/>
    <w:rsid w:val="3DF64417"/>
    <w:rsid w:val="3E122CD4"/>
    <w:rsid w:val="3E1E45F7"/>
    <w:rsid w:val="3E425EEE"/>
    <w:rsid w:val="3E587C75"/>
    <w:rsid w:val="3E77133A"/>
    <w:rsid w:val="3E876013"/>
    <w:rsid w:val="3EA620E2"/>
    <w:rsid w:val="3EB81761"/>
    <w:rsid w:val="3EF75F99"/>
    <w:rsid w:val="3F04439B"/>
    <w:rsid w:val="3F3100AB"/>
    <w:rsid w:val="3F6B2F76"/>
    <w:rsid w:val="3F6F0035"/>
    <w:rsid w:val="3F7152E1"/>
    <w:rsid w:val="3F82150F"/>
    <w:rsid w:val="400205C1"/>
    <w:rsid w:val="40066195"/>
    <w:rsid w:val="40080B7A"/>
    <w:rsid w:val="400A42BC"/>
    <w:rsid w:val="402A7A53"/>
    <w:rsid w:val="403F0071"/>
    <w:rsid w:val="405F6461"/>
    <w:rsid w:val="40812FE2"/>
    <w:rsid w:val="408278D8"/>
    <w:rsid w:val="40A5038C"/>
    <w:rsid w:val="40C02535"/>
    <w:rsid w:val="411C116F"/>
    <w:rsid w:val="411C6089"/>
    <w:rsid w:val="4136539A"/>
    <w:rsid w:val="41395A4F"/>
    <w:rsid w:val="414C7A72"/>
    <w:rsid w:val="414E354D"/>
    <w:rsid w:val="414E46CF"/>
    <w:rsid w:val="414F444A"/>
    <w:rsid w:val="416617AD"/>
    <w:rsid w:val="417F765F"/>
    <w:rsid w:val="41D21EC1"/>
    <w:rsid w:val="41EE178F"/>
    <w:rsid w:val="42576240"/>
    <w:rsid w:val="425C3520"/>
    <w:rsid w:val="42737B66"/>
    <w:rsid w:val="42A45711"/>
    <w:rsid w:val="42C32249"/>
    <w:rsid w:val="42CD140A"/>
    <w:rsid w:val="42DD55FA"/>
    <w:rsid w:val="42E27DE9"/>
    <w:rsid w:val="42FD4091"/>
    <w:rsid w:val="42FE50D7"/>
    <w:rsid w:val="43E27C8F"/>
    <w:rsid w:val="43E50CD9"/>
    <w:rsid w:val="442E224B"/>
    <w:rsid w:val="444B2FFA"/>
    <w:rsid w:val="445970CD"/>
    <w:rsid w:val="44614520"/>
    <w:rsid w:val="44804138"/>
    <w:rsid w:val="44D177FF"/>
    <w:rsid w:val="44E62E55"/>
    <w:rsid w:val="452C6DD4"/>
    <w:rsid w:val="453049D7"/>
    <w:rsid w:val="45463BFF"/>
    <w:rsid w:val="4577656B"/>
    <w:rsid w:val="45924E0F"/>
    <w:rsid w:val="45AA239D"/>
    <w:rsid w:val="45B63EB7"/>
    <w:rsid w:val="460101A2"/>
    <w:rsid w:val="46252123"/>
    <w:rsid w:val="46477F83"/>
    <w:rsid w:val="466E2476"/>
    <w:rsid w:val="467747C6"/>
    <w:rsid w:val="467D6834"/>
    <w:rsid w:val="46C33F42"/>
    <w:rsid w:val="4731191F"/>
    <w:rsid w:val="4731483C"/>
    <w:rsid w:val="4733674D"/>
    <w:rsid w:val="474B026F"/>
    <w:rsid w:val="475C356F"/>
    <w:rsid w:val="476578CD"/>
    <w:rsid w:val="476B79AF"/>
    <w:rsid w:val="477C173E"/>
    <w:rsid w:val="477F2B21"/>
    <w:rsid w:val="478D3B6C"/>
    <w:rsid w:val="47ED352D"/>
    <w:rsid w:val="47FF7CD8"/>
    <w:rsid w:val="480972E6"/>
    <w:rsid w:val="481503C9"/>
    <w:rsid w:val="481966D3"/>
    <w:rsid w:val="481D41B4"/>
    <w:rsid w:val="48A25AE5"/>
    <w:rsid w:val="49070F68"/>
    <w:rsid w:val="490D7BF1"/>
    <w:rsid w:val="49257103"/>
    <w:rsid w:val="49527CF9"/>
    <w:rsid w:val="49D55E3F"/>
    <w:rsid w:val="4A417097"/>
    <w:rsid w:val="4A5C514B"/>
    <w:rsid w:val="4A6C7530"/>
    <w:rsid w:val="4A6F1ED4"/>
    <w:rsid w:val="4A860A95"/>
    <w:rsid w:val="4AA959C7"/>
    <w:rsid w:val="4AF20723"/>
    <w:rsid w:val="4B41495E"/>
    <w:rsid w:val="4B511FE7"/>
    <w:rsid w:val="4B6A0A30"/>
    <w:rsid w:val="4BD77791"/>
    <w:rsid w:val="4BED5A5C"/>
    <w:rsid w:val="4BFE0015"/>
    <w:rsid w:val="4C0818C8"/>
    <w:rsid w:val="4C9F517B"/>
    <w:rsid w:val="4CA549EA"/>
    <w:rsid w:val="4CD012E3"/>
    <w:rsid w:val="4CD64149"/>
    <w:rsid w:val="4CEC2A64"/>
    <w:rsid w:val="4D0006A8"/>
    <w:rsid w:val="4D064314"/>
    <w:rsid w:val="4D1D4FD6"/>
    <w:rsid w:val="4D3758A1"/>
    <w:rsid w:val="4D423CEF"/>
    <w:rsid w:val="4D593821"/>
    <w:rsid w:val="4D7C7BA1"/>
    <w:rsid w:val="4D9B4F02"/>
    <w:rsid w:val="4DB43F30"/>
    <w:rsid w:val="4DD85F43"/>
    <w:rsid w:val="4DE66470"/>
    <w:rsid w:val="4DE84AD8"/>
    <w:rsid w:val="4DFD6DFA"/>
    <w:rsid w:val="4E0033FC"/>
    <w:rsid w:val="4E063B3B"/>
    <w:rsid w:val="4E7A3307"/>
    <w:rsid w:val="4ED038CE"/>
    <w:rsid w:val="4EDB28E9"/>
    <w:rsid w:val="4EE707E9"/>
    <w:rsid w:val="4EF743DC"/>
    <w:rsid w:val="4F092299"/>
    <w:rsid w:val="4F2D157E"/>
    <w:rsid w:val="4F4F7D48"/>
    <w:rsid w:val="4FD25CA0"/>
    <w:rsid w:val="502176FE"/>
    <w:rsid w:val="50272B7E"/>
    <w:rsid w:val="502C1E2F"/>
    <w:rsid w:val="5043353C"/>
    <w:rsid w:val="506957BA"/>
    <w:rsid w:val="507E449B"/>
    <w:rsid w:val="508B3404"/>
    <w:rsid w:val="50AB665B"/>
    <w:rsid w:val="50DD1886"/>
    <w:rsid w:val="51025EB1"/>
    <w:rsid w:val="51053E78"/>
    <w:rsid w:val="51073B7E"/>
    <w:rsid w:val="511C7497"/>
    <w:rsid w:val="513A0816"/>
    <w:rsid w:val="513F38BD"/>
    <w:rsid w:val="516413D6"/>
    <w:rsid w:val="518B18D9"/>
    <w:rsid w:val="51967994"/>
    <w:rsid w:val="519D3C4B"/>
    <w:rsid w:val="51AE2DF7"/>
    <w:rsid w:val="51F3429A"/>
    <w:rsid w:val="520269C8"/>
    <w:rsid w:val="52040D57"/>
    <w:rsid w:val="521C6191"/>
    <w:rsid w:val="526923CC"/>
    <w:rsid w:val="52810ECC"/>
    <w:rsid w:val="52B720B6"/>
    <w:rsid w:val="52BE5528"/>
    <w:rsid w:val="52D96350"/>
    <w:rsid w:val="52E83B55"/>
    <w:rsid w:val="532E44BD"/>
    <w:rsid w:val="53674C76"/>
    <w:rsid w:val="53726AA7"/>
    <w:rsid w:val="53785998"/>
    <w:rsid w:val="537A4AD4"/>
    <w:rsid w:val="53F67C32"/>
    <w:rsid w:val="53FB36D5"/>
    <w:rsid w:val="541542D9"/>
    <w:rsid w:val="54400F37"/>
    <w:rsid w:val="547341BA"/>
    <w:rsid w:val="54A41F60"/>
    <w:rsid w:val="54AC0D83"/>
    <w:rsid w:val="54B60BC7"/>
    <w:rsid w:val="54BA41F1"/>
    <w:rsid w:val="54C052C1"/>
    <w:rsid w:val="54D17284"/>
    <w:rsid w:val="54F72DDC"/>
    <w:rsid w:val="55110DB9"/>
    <w:rsid w:val="552705DC"/>
    <w:rsid w:val="553D7E67"/>
    <w:rsid w:val="55426EFA"/>
    <w:rsid w:val="557934DC"/>
    <w:rsid w:val="55A90749"/>
    <w:rsid w:val="55AE3BFA"/>
    <w:rsid w:val="56076DEF"/>
    <w:rsid w:val="561478EB"/>
    <w:rsid w:val="561A51C2"/>
    <w:rsid w:val="56644876"/>
    <w:rsid w:val="56873461"/>
    <w:rsid w:val="568B2C13"/>
    <w:rsid w:val="56C8095A"/>
    <w:rsid w:val="56D43F45"/>
    <w:rsid w:val="56F769A3"/>
    <w:rsid w:val="56F82256"/>
    <w:rsid w:val="570F32F2"/>
    <w:rsid w:val="57582CFA"/>
    <w:rsid w:val="57600501"/>
    <w:rsid w:val="5772613B"/>
    <w:rsid w:val="582B38A1"/>
    <w:rsid w:val="58353854"/>
    <w:rsid w:val="588977CA"/>
    <w:rsid w:val="58C20AC0"/>
    <w:rsid w:val="58C2670F"/>
    <w:rsid w:val="58D03732"/>
    <w:rsid w:val="58D6265C"/>
    <w:rsid w:val="58DB7BB4"/>
    <w:rsid w:val="58DC53A4"/>
    <w:rsid w:val="58F20F5B"/>
    <w:rsid w:val="58F8338B"/>
    <w:rsid w:val="5917761A"/>
    <w:rsid w:val="59367F2E"/>
    <w:rsid w:val="594B168E"/>
    <w:rsid w:val="5968674E"/>
    <w:rsid w:val="596907BB"/>
    <w:rsid w:val="59BD5872"/>
    <w:rsid w:val="5A005FE6"/>
    <w:rsid w:val="5A0A4E91"/>
    <w:rsid w:val="5A0C37EA"/>
    <w:rsid w:val="5A0F5D48"/>
    <w:rsid w:val="5A1206D5"/>
    <w:rsid w:val="5A4478F1"/>
    <w:rsid w:val="5A735713"/>
    <w:rsid w:val="5A962323"/>
    <w:rsid w:val="5A992090"/>
    <w:rsid w:val="5B072553"/>
    <w:rsid w:val="5B10025A"/>
    <w:rsid w:val="5B25446C"/>
    <w:rsid w:val="5B2F4FE1"/>
    <w:rsid w:val="5B3E4539"/>
    <w:rsid w:val="5B6D09C0"/>
    <w:rsid w:val="5B6E5D52"/>
    <w:rsid w:val="5BB14593"/>
    <w:rsid w:val="5C3727C2"/>
    <w:rsid w:val="5C3904C3"/>
    <w:rsid w:val="5C551BCC"/>
    <w:rsid w:val="5C676FA3"/>
    <w:rsid w:val="5C680C86"/>
    <w:rsid w:val="5C7B5AC2"/>
    <w:rsid w:val="5CDC1CAC"/>
    <w:rsid w:val="5CE14D82"/>
    <w:rsid w:val="5CEA3D6E"/>
    <w:rsid w:val="5D0641A9"/>
    <w:rsid w:val="5D114F90"/>
    <w:rsid w:val="5D276E85"/>
    <w:rsid w:val="5D3873F2"/>
    <w:rsid w:val="5D4447C5"/>
    <w:rsid w:val="5D623525"/>
    <w:rsid w:val="5D8419DD"/>
    <w:rsid w:val="5D99111D"/>
    <w:rsid w:val="5D9A5054"/>
    <w:rsid w:val="5D9C123E"/>
    <w:rsid w:val="5DAD4666"/>
    <w:rsid w:val="5DB74FF8"/>
    <w:rsid w:val="5DD42C81"/>
    <w:rsid w:val="5DE376F5"/>
    <w:rsid w:val="5DE82BF4"/>
    <w:rsid w:val="5DF57614"/>
    <w:rsid w:val="5E0C16E1"/>
    <w:rsid w:val="5E0C688D"/>
    <w:rsid w:val="5E152DF4"/>
    <w:rsid w:val="5E292655"/>
    <w:rsid w:val="5E357941"/>
    <w:rsid w:val="5E436186"/>
    <w:rsid w:val="5E9C19B5"/>
    <w:rsid w:val="5EB9124F"/>
    <w:rsid w:val="5ECB4775"/>
    <w:rsid w:val="5EF5764A"/>
    <w:rsid w:val="5EF60997"/>
    <w:rsid w:val="5F2A4940"/>
    <w:rsid w:val="5F351E50"/>
    <w:rsid w:val="5F5975F9"/>
    <w:rsid w:val="5F8763B3"/>
    <w:rsid w:val="5F884D09"/>
    <w:rsid w:val="5FA47B91"/>
    <w:rsid w:val="5FA47F3B"/>
    <w:rsid w:val="5FA72941"/>
    <w:rsid w:val="5FAA009F"/>
    <w:rsid w:val="5FAE166A"/>
    <w:rsid w:val="5FB602C1"/>
    <w:rsid w:val="5FC413CF"/>
    <w:rsid w:val="5FF27999"/>
    <w:rsid w:val="60417BC1"/>
    <w:rsid w:val="6074099D"/>
    <w:rsid w:val="609E686F"/>
    <w:rsid w:val="60BD60F4"/>
    <w:rsid w:val="61031BEA"/>
    <w:rsid w:val="610514D8"/>
    <w:rsid w:val="611D67A0"/>
    <w:rsid w:val="61221F61"/>
    <w:rsid w:val="6152785C"/>
    <w:rsid w:val="61A81891"/>
    <w:rsid w:val="61D305DE"/>
    <w:rsid w:val="61D81A69"/>
    <w:rsid w:val="61E84175"/>
    <w:rsid w:val="61EC5F30"/>
    <w:rsid w:val="62353801"/>
    <w:rsid w:val="62492601"/>
    <w:rsid w:val="62850C17"/>
    <w:rsid w:val="62995475"/>
    <w:rsid w:val="62A341F7"/>
    <w:rsid w:val="62AB0591"/>
    <w:rsid w:val="62C34226"/>
    <w:rsid w:val="62D132A5"/>
    <w:rsid w:val="62DD0303"/>
    <w:rsid w:val="62E61558"/>
    <w:rsid w:val="62F306F9"/>
    <w:rsid w:val="62F75CC3"/>
    <w:rsid w:val="62F87981"/>
    <w:rsid w:val="63095FE3"/>
    <w:rsid w:val="631651C0"/>
    <w:rsid w:val="63622028"/>
    <w:rsid w:val="63853A72"/>
    <w:rsid w:val="63AA5B79"/>
    <w:rsid w:val="64091634"/>
    <w:rsid w:val="64120926"/>
    <w:rsid w:val="641A3F63"/>
    <w:rsid w:val="64731F91"/>
    <w:rsid w:val="648B3176"/>
    <w:rsid w:val="64C96FF1"/>
    <w:rsid w:val="64CA7E0E"/>
    <w:rsid w:val="64CF1D2E"/>
    <w:rsid w:val="64E44908"/>
    <w:rsid w:val="64F84640"/>
    <w:rsid w:val="65136D24"/>
    <w:rsid w:val="65163A1A"/>
    <w:rsid w:val="65604E20"/>
    <w:rsid w:val="656B3D8F"/>
    <w:rsid w:val="657D1216"/>
    <w:rsid w:val="658B0FAD"/>
    <w:rsid w:val="659E3E16"/>
    <w:rsid w:val="65EB661C"/>
    <w:rsid w:val="6627699E"/>
    <w:rsid w:val="66383354"/>
    <w:rsid w:val="666349B1"/>
    <w:rsid w:val="667D2B19"/>
    <w:rsid w:val="668A4BCA"/>
    <w:rsid w:val="66A05342"/>
    <w:rsid w:val="66A91553"/>
    <w:rsid w:val="66B8660E"/>
    <w:rsid w:val="66C266E0"/>
    <w:rsid w:val="67112F7B"/>
    <w:rsid w:val="6716156C"/>
    <w:rsid w:val="67203376"/>
    <w:rsid w:val="67776106"/>
    <w:rsid w:val="679718D8"/>
    <w:rsid w:val="67B51E98"/>
    <w:rsid w:val="67CB3279"/>
    <w:rsid w:val="67F06CE7"/>
    <w:rsid w:val="6826407C"/>
    <w:rsid w:val="683A01CF"/>
    <w:rsid w:val="687248ED"/>
    <w:rsid w:val="68776D2D"/>
    <w:rsid w:val="68925FF4"/>
    <w:rsid w:val="68A56FDD"/>
    <w:rsid w:val="68BA20C1"/>
    <w:rsid w:val="68DB7B20"/>
    <w:rsid w:val="68DE7E52"/>
    <w:rsid w:val="68F55D38"/>
    <w:rsid w:val="69545166"/>
    <w:rsid w:val="69720761"/>
    <w:rsid w:val="69FA6343"/>
    <w:rsid w:val="69FC081B"/>
    <w:rsid w:val="6A1A6F12"/>
    <w:rsid w:val="6A6319EE"/>
    <w:rsid w:val="6A662C7C"/>
    <w:rsid w:val="6A6B2CE9"/>
    <w:rsid w:val="6A7C47E9"/>
    <w:rsid w:val="6A7E7367"/>
    <w:rsid w:val="6A8D2838"/>
    <w:rsid w:val="6ABB6563"/>
    <w:rsid w:val="6AED6994"/>
    <w:rsid w:val="6B0D1B57"/>
    <w:rsid w:val="6B1C670C"/>
    <w:rsid w:val="6B1F67E6"/>
    <w:rsid w:val="6B505095"/>
    <w:rsid w:val="6B6C01D2"/>
    <w:rsid w:val="6B7872A9"/>
    <w:rsid w:val="6B9C5BE7"/>
    <w:rsid w:val="6BB5001A"/>
    <w:rsid w:val="6BFA1555"/>
    <w:rsid w:val="6C251379"/>
    <w:rsid w:val="6C431DC4"/>
    <w:rsid w:val="6C4D38FE"/>
    <w:rsid w:val="6CE643FC"/>
    <w:rsid w:val="6CFD3CC3"/>
    <w:rsid w:val="6CFF10D7"/>
    <w:rsid w:val="6D222E6D"/>
    <w:rsid w:val="6D2A5EAB"/>
    <w:rsid w:val="6D390FB5"/>
    <w:rsid w:val="6D3F0B52"/>
    <w:rsid w:val="6D400D81"/>
    <w:rsid w:val="6D460B53"/>
    <w:rsid w:val="6D6F5B7D"/>
    <w:rsid w:val="6D7D1F80"/>
    <w:rsid w:val="6D905B7F"/>
    <w:rsid w:val="6DAC11AF"/>
    <w:rsid w:val="6DAD0051"/>
    <w:rsid w:val="6DBB242E"/>
    <w:rsid w:val="6DF83D51"/>
    <w:rsid w:val="6E4D4B90"/>
    <w:rsid w:val="6E5F4773"/>
    <w:rsid w:val="6E7F3C61"/>
    <w:rsid w:val="6E7F737C"/>
    <w:rsid w:val="6E893D39"/>
    <w:rsid w:val="6EA441CB"/>
    <w:rsid w:val="6EB7090A"/>
    <w:rsid w:val="6EC35DF8"/>
    <w:rsid w:val="6EC57AD9"/>
    <w:rsid w:val="6EDD1D5C"/>
    <w:rsid w:val="6EF34FC7"/>
    <w:rsid w:val="6F1273E9"/>
    <w:rsid w:val="6F4545EB"/>
    <w:rsid w:val="6F4952A3"/>
    <w:rsid w:val="6F8051D6"/>
    <w:rsid w:val="6F8420E2"/>
    <w:rsid w:val="6F9C3BCD"/>
    <w:rsid w:val="6FD50BB2"/>
    <w:rsid w:val="703B2D36"/>
    <w:rsid w:val="70443029"/>
    <w:rsid w:val="7058430A"/>
    <w:rsid w:val="70741839"/>
    <w:rsid w:val="70BE1A53"/>
    <w:rsid w:val="70D5368F"/>
    <w:rsid w:val="70DB753A"/>
    <w:rsid w:val="710B6653"/>
    <w:rsid w:val="711F0E5F"/>
    <w:rsid w:val="712E5380"/>
    <w:rsid w:val="714A455E"/>
    <w:rsid w:val="71541DBE"/>
    <w:rsid w:val="715F07A1"/>
    <w:rsid w:val="716C3B7C"/>
    <w:rsid w:val="71982348"/>
    <w:rsid w:val="7199385F"/>
    <w:rsid w:val="71A92894"/>
    <w:rsid w:val="71B46250"/>
    <w:rsid w:val="71D714DB"/>
    <w:rsid w:val="71E573FD"/>
    <w:rsid w:val="71ED63B7"/>
    <w:rsid w:val="72210FF6"/>
    <w:rsid w:val="723F0241"/>
    <w:rsid w:val="724303DE"/>
    <w:rsid w:val="725B6557"/>
    <w:rsid w:val="726B2F3E"/>
    <w:rsid w:val="72AC387C"/>
    <w:rsid w:val="72BF1625"/>
    <w:rsid w:val="72D705F9"/>
    <w:rsid w:val="73403E2C"/>
    <w:rsid w:val="73423144"/>
    <w:rsid w:val="7353344A"/>
    <w:rsid w:val="73747471"/>
    <w:rsid w:val="738C257F"/>
    <w:rsid w:val="738E03FA"/>
    <w:rsid w:val="73A65DB1"/>
    <w:rsid w:val="73AD381B"/>
    <w:rsid w:val="73F36612"/>
    <w:rsid w:val="74076433"/>
    <w:rsid w:val="74286359"/>
    <w:rsid w:val="74550155"/>
    <w:rsid w:val="74611CF3"/>
    <w:rsid w:val="74732448"/>
    <w:rsid w:val="749E1264"/>
    <w:rsid w:val="74C74B98"/>
    <w:rsid w:val="74D50EAB"/>
    <w:rsid w:val="74E5442E"/>
    <w:rsid w:val="74EF27BA"/>
    <w:rsid w:val="74FB752E"/>
    <w:rsid w:val="750D2741"/>
    <w:rsid w:val="752F1A1B"/>
    <w:rsid w:val="753E1AE3"/>
    <w:rsid w:val="75492FB1"/>
    <w:rsid w:val="755D6BD9"/>
    <w:rsid w:val="757137AB"/>
    <w:rsid w:val="75894543"/>
    <w:rsid w:val="75F51B58"/>
    <w:rsid w:val="760D5A65"/>
    <w:rsid w:val="76131B0C"/>
    <w:rsid w:val="761A15C4"/>
    <w:rsid w:val="761F1246"/>
    <w:rsid w:val="7628730A"/>
    <w:rsid w:val="76312025"/>
    <w:rsid w:val="764E6F80"/>
    <w:rsid w:val="76711167"/>
    <w:rsid w:val="76854FBE"/>
    <w:rsid w:val="76A436A1"/>
    <w:rsid w:val="76A72ED3"/>
    <w:rsid w:val="76C201BE"/>
    <w:rsid w:val="76EC6A40"/>
    <w:rsid w:val="76EE67BB"/>
    <w:rsid w:val="773E4224"/>
    <w:rsid w:val="776E139B"/>
    <w:rsid w:val="77975A9C"/>
    <w:rsid w:val="77A569E3"/>
    <w:rsid w:val="77A8251C"/>
    <w:rsid w:val="77A950F2"/>
    <w:rsid w:val="77C44D31"/>
    <w:rsid w:val="78134BBD"/>
    <w:rsid w:val="781A03B5"/>
    <w:rsid w:val="785369D6"/>
    <w:rsid w:val="78924360"/>
    <w:rsid w:val="790A73D3"/>
    <w:rsid w:val="79462E2F"/>
    <w:rsid w:val="794846E4"/>
    <w:rsid w:val="794875BD"/>
    <w:rsid w:val="795C07F0"/>
    <w:rsid w:val="79807C97"/>
    <w:rsid w:val="79B30461"/>
    <w:rsid w:val="79BD6141"/>
    <w:rsid w:val="79D02FF4"/>
    <w:rsid w:val="79EF07E8"/>
    <w:rsid w:val="7A215D07"/>
    <w:rsid w:val="7A505E99"/>
    <w:rsid w:val="7A782158"/>
    <w:rsid w:val="7ABC4318"/>
    <w:rsid w:val="7AD36A29"/>
    <w:rsid w:val="7ADA5864"/>
    <w:rsid w:val="7B147EB2"/>
    <w:rsid w:val="7B77649B"/>
    <w:rsid w:val="7BCF1074"/>
    <w:rsid w:val="7BDA2DCC"/>
    <w:rsid w:val="7BDF5C20"/>
    <w:rsid w:val="7BE129E3"/>
    <w:rsid w:val="7BEE352B"/>
    <w:rsid w:val="7BF65091"/>
    <w:rsid w:val="7BF8194A"/>
    <w:rsid w:val="7C1E5D8F"/>
    <w:rsid w:val="7C251BA1"/>
    <w:rsid w:val="7C487E41"/>
    <w:rsid w:val="7C634CBD"/>
    <w:rsid w:val="7CD46E8E"/>
    <w:rsid w:val="7CDD6705"/>
    <w:rsid w:val="7D2B4EDA"/>
    <w:rsid w:val="7D4F6960"/>
    <w:rsid w:val="7D8E4689"/>
    <w:rsid w:val="7DEA46E9"/>
    <w:rsid w:val="7E0E1B4C"/>
    <w:rsid w:val="7E116826"/>
    <w:rsid w:val="7E124A3F"/>
    <w:rsid w:val="7E1749C3"/>
    <w:rsid w:val="7E1D0FC4"/>
    <w:rsid w:val="7E44787B"/>
    <w:rsid w:val="7E5C70A8"/>
    <w:rsid w:val="7E7A561F"/>
    <w:rsid w:val="7EA537EB"/>
    <w:rsid w:val="7EAE50B1"/>
    <w:rsid w:val="7EF649F8"/>
    <w:rsid w:val="7F616481"/>
    <w:rsid w:val="7F623604"/>
    <w:rsid w:val="7F673796"/>
    <w:rsid w:val="7F9A719F"/>
    <w:rsid w:val="7F9B2EB0"/>
    <w:rsid w:val="7FD628E4"/>
    <w:rsid w:val="7FE13AD2"/>
    <w:rsid w:val="FCF9E7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locked/>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99"/>
    <w:pPr>
      <w:ind w:firstLine="420" w:firstLineChars="200"/>
    </w:pPr>
  </w:style>
  <w:style w:type="paragraph" w:styleId="4">
    <w:name w:val="Plain Text"/>
    <w:basedOn w:val="1"/>
    <w:qFormat/>
    <w:uiPriority w:val="0"/>
    <w:rPr>
      <w:rFonts w:ascii="宋体" w:hAnsi="Courier New"/>
      <w:szCs w:val="20"/>
    </w:rPr>
  </w:style>
  <w:style w:type="paragraph" w:styleId="5">
    <w:name w:val="Balloon Text"/>
    <w:basedOn w:val="1"/>
    <w:link w:val="14"/>
    <w:semiHidden/>
    <w:qFormat/>
    <w:uiPriority w:val="99"/>
    <w:rPr>
      <w:kern w:val="0"/>
      <w:sz w:val="2"/>
      <w:szCs w:val="2"/>
    </w:rPr>
  </w:style>
  <w:style w:type="paragraph" w:styleId="6">
    <w:name w:val="footer"/>
    <w:basedOn w:val="1"/>
    <w:link w:val="15"/>
    <w:qFormat/>
    <w:uiPriority w:val="99"/>
    <w:pPr>
      <w:tabs>
        <w:tab w:val="center" w:pos="4153"/>
        <w:tab w:val="right" w:pos="8306"/>
      </w:tabs>
      <w:snapToGrid w:val="0"/>
      <w:jc w:val="left"/>
    </w:pPr>
    <w:rPr>
      <w:kern w:val="0"/>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HTML Preformatted"/>
    <w:basedOn w:val="1"/>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9">
    <w:name w:val="Normal (Web)"/>
    <w:basedOn w:val="1"/>
    <w:qFormat/>
    <w:uiPriority w:val="0"/>
    <w:pPr>
      <w:jc w:val="left"/>
    </w:pPr>
    <w:rPr>
      <w:rFonts w:ascii="宋体" w:hAnsi="宋体" w:eastAsia="宋体"/>
      <w:kern w:val="0"/>
      <w:sz w:val="24"/>
    </w:rPr>
  </w:style>
  <w:style w:type="table" w:styleId="11">
    <w:name w:val="Table Grid"/>
    <w:basedOn w:val="10"/>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99"/>
  </w:style>
  <w:style w:type="character" w:customStyle="1" w:styleId="14">
    <w:name w:val="批注框文本 Char"/>
    <w:link w:val="5"/>
    <w:semiHidden/>
    <w:qFormat/>
    <w:locked/>
    <w:uiPriority w:val="99"/>
    <w:rPr>
      <w:sz w:val="2"/>
      <w:szCs w:val="2"/>
    </w:rPr>
  </w:style>
  <w:style w:type="character" w:customStyle="1" w:styleId="15">
    <w:name w:val="页脚 Char"/>
    <w:link w:val="6"/>
    <w:semiHidden/>
    <w:qFormat/>
    <w:locked/>
    <w:uiPriority w:val="99"/>
    <w:rPr>
      <w:sz w:val="18"/>
      <w:szCs w:val="18"/>
    </w:rPr>
  </w:style>
  <w:style w:type="character" w:customStyle="1" w:styleId="16">
    <w:name w:val="页眉 Char"/>
    <w:link w:val="7"/>
    <w:semiHidden/>
    <w:qFormat/>
    <w:locked/>
    <w:uiPriority w:val="99"/>
    <w:rPr>
      <w:sz w:val="18"/>
      <w:szCs w:val="18"/>
    </w:rPr>
  </w:style>
  <w:style w:type="character" w:customStyle="1" w:styleId="17">
    <w:name w:val="HTML 预设格式 Char"/>
    <w:link w:val="8"/>
    <w:semiHidden/>
    <w:qFormat/>
    <w:locked/>
    <w:uiPriority w:val="99"/>
    <w:rPr>
      <w:rFonts w:ascii="Courier New" w:hAnsi="Courier New" w:cs="Courier New"/>
      <w:sz w:val="20"/>
      <w:szCs w:val="20"/>
    </w:rPr>
  </w:style>
  <w:style w:type="paragraph" w:customStyle="1" w:styleId="18">
    <w:name w:val="_Style 1"/>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
    <w:name w:val="WPSOffice手动目录 1"/>
    <w:qFormat/>
    <w:uiPriority w:val="99"/>
    <w:rPr>
      <w:rFonts w:ascii="Times New Roman" w:hAnsi="Times New Roman" w:eastAsia="宋体" w:cs="Times New Roman"/>
      <w:lang w:val="en-US" w:eastAsia="zh-CN" w:bidi="ar-SA"/>
    </w:rPr>
  </w:style>
  <w:style w:type="paragraph" w:customStyle="1" w:styleId="20">
    <w:name w:val="WPSOffice手动目录 2"/>
    <w:qFormat/>
    <w:uiPriority w:val="99"/>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11180</Words>
  <Characters>12278</Characters>
  <Lines>103</Lines>
  <Paragraphs>29</Paragraphs>
  <TotalTime>37</TotalTime>
  <ScaleCrop>false</ScaleCrop>
  <LinksUpToDate>false</LinksUpToDate>
  <CharactersWithSpaces>12410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2018-11-23T16:47:00Z</dcterms:created>
  <dc:creator>User</dc:creator>
  <cp:lastModifiedBy>黄建翔</cp:lastModifiedBy>
  <cp:lastPrinted>2018-12-13T21:42:00Z</cp:lastPrinted>
  <dcterms:modified xsi:type="dcterms:W3CDTF">2022-09-08T11:50:24Z</dcterms:modified>
  <dc:title>三明市科学技术局市级财政项目支出绩效评价报告</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E7456F235F6C49B7989E3A05A425BD9C</vt:lpwstr>
  </property>
</Properties>
</file>